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F82BF01" w14:textId="0218D9DB" w:rsidR="00EE740F" w:rsidRPr="00212531" w:rsidRDefault="00EE740F" w:rsidP="00FC16CF">
      <w:pPr>
        <w:rPr>
          <w:rFonts w:cs="Arial"/>
        </w:rPr>
      </w:pPr>
      <w:r w:rsidRPr="00212531">
        <w:rPr>
          <w:rFonts w:cs="Arial"/>
          <w:noProof/>
          <w:lang w:eastAsia="pt-BR"/>
        </w:rPr>
        <mc:AlternateContent>
          <mc:Choice Requires="wps">
            <w:drawing>
              <wp:anchor distT="0" distB="0" distL="114300" distR="114300" simplePos="0" relativeHeight="251658240" behindDoc="1" locked="0" layoutInCell="1" allowOverlap="1" wp14:anchorId="496CF51E" wp14:editId="3A3EB841">
                <wp:simplePos x="0" y="0"/>
                <wp:positionH relativeFrom="page">
                  <wp:posOffset>9525</wp:posOffset>
                </wp:positionH>
                <wp:positionV relativeFrom="paragraph">
                  <wp:posOffset>-1080135</wp:posOffset>
                </wp:positionV>
                <wp:extent cx="7724140" cy="11303000"/>
                <wp:effectExtent l="0" t="0" r="0" b="0"/>
                <wp:wrapNone/>
                <wp:docPr id="35" name="Retângulo 35"/>
                <wp:cNvGraphicFramePr/>
                <a:graphic xmlns:a="http://schemas.openxmlformats.org/drawingml/2006/main">
                  <a:graphicData uri="http://schemas.microsoft.com/office/word/2010/wordprocessingShape">
                    <wps:wsp>
                      <wps:cNvSpPr/>
                      <wps:spPr>
                        <a:xfrm>
                          <a:off x="0" y="0"/>
                          <a:ext cx="7724140" cy="11303000"/>
                        </a:xfrm>
                        <a:prstGeom prst="rect">
                          <a:avLst/>
                        </a:prstGeom>
                        <a:solidFill>
                          <a:srgbClr val="22498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0359D7" id="Retângulo 35" o:spid="_x0000_s1026" style="position:absolute;margin-left:.75pt;margin-top:-85.05pt;width:608.2pt;height:890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Tr6nAIAAIoFAAAOAAAAZHJzL2Uyb0RvYy54bWysVNtO3DAQfa/Uf7D8XnJhKbAii1ZQqkqo&#10;IKDi2evYm0iOxx17b/2c/kp/rGMnGyigPlR9STye+/GZOTvfdoatFfoWbMWLg5wzZSXUrV1W/NvD&#10;1YcTznwQthYGrKr4Tnl+Pnv/7mzjpqqEBkytkFEQ66cbV/EmBDfNMi8b1Ql/AE5ZUmrATgQScZnV&#10;KDYUvTNZmecfsw1g7RCk8p5uL3sln6X4WisZbrT2KjBTcaotpC+m7yJ+s9mZmC5RuKaVQxniH6ro&#10;RGsp6RjqUgTBVti+CtW1EsGDDgcSugy0bqVKPVA3Rf6im/tGOJV6IXC8G2Hy/y+s/Lq+RdbWFT88&#10;4syKjt7oToVfP+1yZYDRJSG0cX5KhvfuFgfJ0zG2u9XYxT81wrYJ1d2IqtoGJuny+LicFBMCX5Ku&#10;KA7zwzxPwGdP/g59+KygY/FQcaR3S3CK9bUPlJNM9yYxnQfT1letMUnA5eLCIFsLeuOynJyefIpF&#10;k8sfZsZGYwvRrVfHmyz21neTTmFnVLQz9k5pwoXqL1MliZFqzCOkVDYUvaoRterTH1Fr+95Gj1RL&#10;Chgja8o/xh4CRLa/jt1XOdhHV5UIPTrnfyusdx49UmawYXTuWgv4VgBDXQ2Ze/s9SD00EaUF1Dti&#10;DUI/Tt7Jq5be7Vr4cCuQ5ocem3ZCuKGPNrCpOAwnzhrAH2/dR3uiNWk529A8Vtx/XwlUnJkvlgh/&#10;Wkwih0ISJkfHJQn4XLN4rrGr7gKIDgVtHyfTMdoHsz9qhO6RVsc8ZiWVsJJyV1wG3AsXod8TtHyk&#10;ms+TGQ2tE+Ha3jsZg0dUIy8fto8C3UDeQMT/CvvZFdMXHO5to6eF+SqAbhPBn3Ad8KaBT8QZllPc&#10;KM/lZPW0Qme/AQAA//8DAFBLAwQUAAYACAAAACEAO4oMMd4AAAAMAQAADwAAAGRycy9kb3ducmV2&#10;LnhtbEyPy07DMBBF90j8gzVI7Fo7QaQkxKkQUgUSK/rYu/EQW9jjKHbb8Pe4K9jN1RzdOdOuZ+/Y&#10;GadoA0kolgIYUh+0pUHCfrdZPAGLSZFWLhBK+MEI6+72plWNDhf6xPM2DSyXUGyUBJPS2HAee4Ne&#10;xWUYkfLuK0xepRyngetJXXK5d7wUouJeWcoXjBrx1WD/vT15CZvSHfz8Ribu33f0cXiwtamslPd3&#10;88szsIRz+oPhqp/VoctOx3AiHZnL+TGDEhbFShTArkBZrGpgxzxVoq6Bdy3//0T3CwAA//8DAFBL&#10;AQItABQABgAIAAAAIQC2gziS/gAAAOEBAAATAAAAAAAAAAAAAAAAAAAAAABbQ29udGVudF9UeXBl&#10;c10ueG1sUEsBAi0AFAAGAAgAAAAhADj9If/WAAAAlAEAAAsAAAAAAAAAAAAAAAAALwEAAF9yZWxz&#10;Ly5yZWxzUEsBAi0AFAAGAAgAAAAhALMVOvqcAgAAigUAAA4AAAAAAAAAAAAAAAAALgIAAGRycy9l&#10;Mm9Eb2MueG1sUEsBAi0AFAAGAAgAAAAhADuKDDHeAAAADAEAAA8AAAAAAAAAAAAAAAAA9gQAAGRy&#10;cy9kb3ducmV2LnhtbFBLBQYAAAAABAAEAPMAAAABBgAAAAA=&#10;" fillcolor="#22498e" stroked="f" strokeweight="2pt">
                <w10:wrap anchorx="page"/>
              </v:rect>
            </w:pict>
          </mc:Fallback>
        </mc:AlternateContent>
      </w:r>
      <w:r w:rsidRPr="00212531">
        <w:rPr>
          <w:rFonts w:cs="Arial"/>
          <w:noProof/>
          <w:lang w:eastAsia="pt-BR"/>
        </w:rPr>
        <w:drawing>
          <wp:anchor distT="0" distB="0" distL="114300" distR="114300" simplePos="0" relativeHeight="251658243" behindDoc="0" locked="0" layoutInCell="1" allowOverlap="1" wp14:anchorId="64767166" wp14:editId="2EE93690">
            <wp:simplePos x="0" y="0"/>
            <wp:positionH relativeFrom="column">
              <wp:posOffset>-251460</wp:posOffset>
            </wp:positionH>
            <wp:positionV relativeFrom="paragraph">
              <wp:posOffset>-110490</wp:posOffset>
            </wp:positionV>
            <wp:extent cx="1866900" cy="379997"/>
            <wp:effectExtent l="0" t="0" r="0" b="1270"/>
            <wp:wrapNone/>
            <wp:docPr id="15" name="Gráfico 5">
              <a:extLst xmlns:a="http://schemas.openxmlformats.org/drawingml/2006/main">
                <a:ext uri="{FF2B5EF4-FFF2-40B4-BE49-F238E27FC236}">
                  <a16:creationId xmlns:a16="http://schemas.microsoft.com/office/drawing/2014/main" id="{1A0FD0EE-D614-449B-B0CC-CB342FD015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áfico 5">
                      <a:extLst>
                        <a:ext uri="{FF2B5EF4-FFF2-40B4-BE49-F238E27FC236}">
                          <a16:creationId xmlns:a16="http://schemas.microsoft.com/office/drawing/2014/main" id="{1A0FD0EE-D614-449B-B0CC-CB342FD0152C}"/>
                        </a:ext>
                      </a:extLst>
                    </pic:cNvPr>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1866900" cy="379997"/>
                    </a:xfrm>
                    <a:prstGeom prst="rect">
                      <a:avLst/>
                    </a:prstGeom>
                  </pic:spPr>
                </pic:pic>
              </a:graphicData>
            </a:graphic>
            <wp14:sizeRelH relativeFrom="margin">
              <wp14:pctWidth>0</wp14:pctWidth>
            </wp14:sizeRelH>
            <wp14:sizeRelV relativeFrom="margin">
              <wp14:pctHeight>0</wp14:pctHeight>
            </wp14:sizeRelV>
          </wp:anchor>
        </w:drawing>
      </w:r>
      <w:r w:rsidRPr="00212531">
        <w:rPr>
          <w:rFonts w:cs="Arial"/>
          <w:noProof/>
          <w:lang w:eastAsia="pt-BR"/>
        </w:rPr>
        <w:drawing>
          <wp:anchor distT="0" distB="0" distL="114300" distR="114300" simplePos="0" relativeHeight="251658241" behindDoc="0" locked="0" layoutInCell="1" allowOverlap="1" wp14:anchorId="43DF0A5A" wp14:editId="602A85BE">
            <wp:simplePos x="0" y="0"/>
            <wp:positionH relativeFrom="page">
              <wp:posOffset>1978660</wp:posOffset>
            </wp:positionH>
            <wp:positionV relativeFrom="paragraph">
              <wp:posOffset>-780415</wp:posOffset>
            </wp:positionV>
            <wp:extent cx="5778500" cy="8891270"/>
            <wp:effectExtent l="0" t="0" r="0" b="0"/>
            <wp:wrapNone/>
            <wp:docPr id="3"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pic:cNvPicPr>
                      <a:picLocks noChangeAspect="1"/>
                    </pic:cNvPicPr>
                  </pic:nvPicPr>
                  <pic:blipFill rotWithShape="1">
                    <a:blip r:embed="rId14" cstate="hqprint">
                      <a:extLst>
                        <a:ext uri="{28A0092B-C50C-407E-A947-70E740481C1C}">
                          <a14:useLocalDpi xmlns:a14="http://schemas.microsoft.com/office/drawing/2010/main" val="0"/>
                        </a:ext>
                      </a:extLst>
                    </a:blip>
                    <a:srcRect t="23355" r="39649" b="8508"/>
                    <a:stretch/>
                  </pic:blipFill>
                  <pic:spPr bwMode="auto">
                    <a:xfrm>
                      <a:off x="0" y="0"/>
                      <a:ext cx="5778500" cy="8891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E66094" w14:textId="77777777" w:rsidR="00EE740F" w:rsidRPr="00212531" w:rsidRDefault="00EE740F" w:rsidP="00EE740F">
      <w:pPr>
        <w:spacing w:line="276" w:lineRule="auto"/>
        <w:rPr>
          <w:rFonts w:cs="Arial"/>
        </w:rPr>
      </w:pPr>
    </w:p>
    <w:p w14:paraId="3213F817" w14:textId="77777777" w:rsidR="00EE740F" w:rsidRPr="00212531" w:rsidRDefault="00EE740F" w:rsidP="00EE740F">
      <w:pPr>
        <w:spacing w:line="276" w:lineRule="auto"/>
        <w:rPr>
          <w:rFonts w:cs="Arial"/>
        </w:rPr>
      </w:pPr>
    </w:p>
    <w:p w14:paraId="43215A87" w14:textId="77777777" w:rsidR="00EE740F" w:rsidRPr="00212531" w:rsidRDefault="00EE740F" w:rsidP="00EE740F">
      <w:pPr>
        <w:spacing w:line="276" w:lineRule="auto"/>
        <w:rPr>
          <w:rFonts w:cs="Arial"/>
        </w:rPr>
      </w:pPr>
    </w:p>
    <w:p w14:paraId="719AD484" w14:textId="77777777" w:rsidR="00EE740F" w:rsidRPr="00212531" w:rsidRDefault="00EE740F" w:rsidP="00EE740F">
      <w:pPr>
        <w:spacing w:line="276" w:lineRule="auto"/>
        <w:rPr>
          <w:rFonts w:cs="Arial"/>
        </w:rPr>
      </w:pPr>
    </w:p>
    <w:p w14:paraId="5BD7C63C" w14:textId="77777777" w:rsidR="00EE740F" w:rsidRPr="00212531" w:rsidRDefault="00EE740F" w:rsidP="00EE740F">
      <w:pPr>
        <w:spacing w:line="276" w:lineRule="auto"/>
        <w:rPr>
          <w:rFonts w:cs="Arial"/>
        </w:rPr>
      </w:pPr>
    </w:p>
    <w:p w14:paraId="7FDCD66B" w14:textId="77777777" w:rsidR="00EE740F" w:rsidRPr="00212531" w:rsidRDefault="00EE740F" w:rsidP="00EE740F">
      <w:pPr>
        <w:spacing w:line="276" w:lineRule="auto"/>
        <w:rPr>
          <w:rFonts w:cs="Arial"/>
        </w:rPr>
      </w:pPr>
    </w:p>
    <w:p w14:paraId="561AB2EB" w14:textId="77777777" w:rsidR="00EE740F" w:rsidRPr="00212531" w:rsidRDefault="00EE740F" w:rsidP="00EE740F">
      <w:pPr>
        <w:spacing w:line="276" w:lineRule="auto"/>
        <w:rPr>
          <w:rFonts w:cs="Arial"/>
        </w:rPr>
      </w:pPr>
    </w:p>
    <w:p w14:paraId="594EB883" w14:textId="77777777" w:rsidR="00EE740F" w:rsidRPr="00212531" w:rsidRDefault="00EE740F" w:rsidP="00EE740F">
      <w:pPr>
        <w:spacing w:line="276" w:lineRule="auto"/>
        <w:rPr>
          <w:rFonts w:cs="Arial"/>
        </w:rPr>
      </w:pPr>
    </w:p>
    <w:p w14:paraId="5856B77F" w14:textId="77777777" w:rsidR="00EE740F" w:rsidRPr="00212531" w:rsidRDefault="00EE740F" w:rsidP="00EE740F">
      <w:pPr>
        <w:spacing w:line="276" w:lineRule="auto"/>
        <w:rPr>
          <w:rFonts w:cs="Arial"/>
        </w:rPr>
      </w:pPr>
    </w:p>
    <w:p w14:paraId="76C90339" w14:textId="77777777" w:rsidR="00EE740F" w:rsidRPr="00212531" w:rsidRDefault="00EE740F" w:rsidP="00EE740F">
      <w:pPr>
        <w:spacing w:line="276" w:lineRule="auto"/>
        <w:rPr>
          <w:rFonts w:cs="Arial"/>
        </w:rPr>
      </w:pPr>
    </w:p>
    <w:p w14:paraId="188DA3C9" w14:textId="77777777" w:rsidR="00EE740F" w:rsidRPr="00212531" w:rsidRDefault="00EE740F" w:rsidP="00EE740F">
      <w:pPr>
        <w:spacing w:line="276" w:lineRule="auto"/>
        <w:rPr>
          <w:rFonts w:cs="Arial"/>
        </w:rPr>
      </w:pPr>
    </w:p>
    <w:p w14:paraId="0CD11616" w14:textId="77777777" w:rsidR="00EE740F" w:rsidRPr="00212531" w:rsidRDefault="00EE740F" w:rsidP="00EE740F">
      <w:pPr>
        <w:spacing w:line="276" w:lineRule="auto"/>
        <w:rPr>
          <w:rFonts w:cs="Arial"/>
        </w:rPr>
      </w:pPr>
    </w:p>
    <w:p w14:paraId="4C490915" w14:textId="77777777" w:rsidR="00EE740F" w:rsidRPr="00212531" w:rsidRDefault="00EE740F" w:rsidP="00EE740F">
      <w:pPr>
        <w:spacing w:line="276" w:lineRule="auto"/>
        <w:rPr>
          <w:rFonts w:cs="Arial"/>
        </w:rPr>
      </w:pPr>
    </w:p>
    <w:p w14:paraId="28EE4239" w14:textId="77777777" w:rsidR="00EE740F" w:rsidRPr="00212531" w:rsidRDefault="00EE740F" w:rsidP="00EE740F">
      <w:pPr>
        <w:spacing w:line="276" w:lineRule="auto"/>
        <w:rPr>
          <w:rFonts w:cs="Arial"/>
        </w:rPr>
      </w:pPr>
    </w:p>
    <w:p w14:paraId="576F4525" w14:textId="77777777" w:rsidR="00EE740F" w:rsidRPr="00212531" w:rsidRDefault="00EE740F" w:rsidP="00EE740F">
      <w:pPr>
        <w:spacing w:line="276" w:lineRule="auto"/>
        <w:rPr>
          <w:rFonts w:cs="Arial"/>
        </w:rPr>
      </w:pPr>
    </w:p>
    <w:p w14:paraId="62BC7E5F" w14:textId="77777777" w:rsidR="00EE740F" w:rsidRPr="00212531" w:rsidRDefault="00EE740F" w:rsidP="00EE740F">
      <w:pPr>
        <w:spacing w:line="276" w:lineRule="auto"/>
        <w:rPr>
          <w:rFonts w:cs="Arial"/>
        </w:rPr>
      </w:pPr>
      <w:r w:rsidRPr="00212531">
        <w:rPr>
          <w:rFonts w:cs="Arial"/>
          <w:noProof/>
          <w:lang w:eastAsia="pt-BR"/>
        </w:rPr>
        <mc:AlternateContent>
          <mc:Choice Requires="wps">
            <w:drawing>
              <wp:anchor distT="0" distB="0" distL="114300" distR="114300" simplePos="0" relativeHeight="251658242" behindDoc="0" locked="0" layoutInCell="1" allowOverlap="1" wp14:anchorId="689CBAAE" wp14:editId="48B787B9">
                <wp:simplePos x="0" y="0"/>
                <wp:positionH relativeFrom="margin">
                  <wp:posOffset>-1080135</wp:posOffset>
                </wp:positionH>
                <wp:positionV relativeFrom="paragraph">
                  <wp:posOffset>210915</wp:posOffset>
                </wp:positionV>
                <wp:extent cx="7548880" cy="2268747"/>
                <wp:effectExtent l="0" t="0" r="0" b="0"/>
                <wp:wrapNone/>
                <wp:docPr id="2" name="Título 1">
                  <a:extLst xmlns:a="http://schemas.openxmlformats.org/drawingml/2006/main">
                    <a:ext uri="{FF2B5EF4-FFF2-40B4-BE49-F238E27FC236}">
                      <a16:creationId xmlns:a16="http://schemas.microsoft.com/office/drawing/2014/main" id="{C3D4DF85-86C4-44C2-AA7F-175557BAA5C0}"/>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48880" cy="2268747"/>
                        </a:xfrm>
                        <a:prstGeom prst="rect">
                          <a:avLst/>
                        </a:prstGeom>
                        <a:noFill/>
                      </wps:spPr>
                      <wps:txbx>
                        <w:txbxContent>
                          <w:p w14:paraId="268DBCCB" w14:textId="77777777" w:rsidR="00EE2214" w:rsidRDefault="00EE2214" w:rsidP="00E33F88">
                            <w:pPr>
                              <w:spacing w:line="240" w:lineRule="auto"/>
                              <w:jc w:val="center"/>
                              <w:rPr>
                                <w:rFonts w:ascii="Calibri" w:hAnsi="Calibri" w:cs="Calibri"/>
                                <w:b/>
                                <w:bCs/>
                                <w:color w:val="FFFFFF" w:themeColor="background1"/>
                                <w:sz w:val="48"/>
                                <w:szCs w:val="48"/>
                              </w:rPr>
                            </w:pPr>
                          </w:p>
                          <w:p w14:paraId="26906D06" w14:textId="11F8AA77" w:rsidR="00EE2214" w:rsidRPr="00C16074" w:rsidRDefault="00EE2214" w:rsidP="00E33F88">
                            <w:pPr>
                              <w:spacing w:line="240" w:lineRule="auto"/>
                              <w:jc w:val="center"/>
                              <w:rPr>
                                <w:rFonts w:ascii="Calibri" w:hAnsi="Calibri" w:cs="Calibri"/>
                                <w:b/>
                                <w:bCs/>
                                <w:color w:val="FFFFFF" w:themeColor="background1"/>
                                <w:sz w:val="56"/>
                                <w:szCs w:val="56"/>
                              </w:rPr>
                            </w:pPr>
                            <w:r>
                              <w:rPr>
                                <w:rFonts w:ascii="Calibri" w:hAnsi="Calibri" w:cs="Calibri"/>
                                <w:b/>
                                <w:bCs/>
                                <w:color w:val="FFFFFF" w:themeColor="background1"/>
                                <w:sz w:val="56"/>
                                <w:szCs w:val="56"/>
                              </w:rPr>
                              <w:t>RELATÓRIO DA ADMINISTRAÇÃO</w:t>
                            </w:r>
                          </w:p>
                          <w:p w14:paraId="0DB33847" w14:textId="75A2AE15" w:rsidR="00EE2214" w:rsidRPr="00C16074" w:rsidRDefault="00EE2214" w:rsidP="00E33F88">
                            <w:pPr>
                              <w:spacing w:line="240" w:lineRule="auto"/>
                              <w:jc w:val="center"/>
                              <w:rPr>
                                <w:rFonts w:ascii="Calibri" w:hAnsi="Calibri" w:cs="Calibri"/>
                                <w:color w:val="95B3D7" w:themeColor="accent1" w:themeTint="99"/>
                                <w:sz w:val="48"/>
                                <w:szCs w:val="48"/>
                              </w:rPr>
                            </w:pPr>
                            <w:r>
                              <w:rPr>
                                <w:rFonts w:ascii="Calibri" w:hAnsi="Calibri" w:cs="Calibri"/>
                                <w:color w:val="95B3D7" w:themeColor="accent1" w:themeTint="99"/>
                                <w:sz w:val="48"/>
                                <w:szCs w:val="48"/>
                              </w:rPr>
                              <w:t>2023</w:t>
                            </w:r>
                          </w:p>
                        </w:txbxContent>
                      </wps:txbx>
                      <wps:bodyPr vert="horz" wrap="square" lIns="91440" tIns="45720" rIns="91440" bIns="45720" rtlCol="0" anchor="t">
                        <a:noAutofit/>
                      </wps:bodyPr>
                    </wps:wsp>
                  </a:graphicData>
                </a:graphic>
                <wp14:sizeRelH relativeFrom="margin">
                  <wp14:pctWidth>0</wp14:pctWidth>
                </wp14:sizeRelH>
                <wp14:sizeRelV relativeFrom="margin">
                  <wp14:pctHeight>0</wp14:pctHeight>
                </wp14:sizeRelV>
              </wp:anchor>
            </w:drawing>
          </mc:Choice>
          <mc:Fallback>
            <w:pict>
              <v:shapetype w14:anchorId="689CBAAE" id="_x0000_t202" coordsize="21600,21600" o:spt="202" path="m,l,21600r21600,l21600,xe">
                <v:stroke joinstyle="miter"/>
                <v:path gradientshapeok="t" o:connecttype="rect"/>
              </v:shapetype>
              <v:shape id="Título 1" o:spid="_x0000_s1026" type="#_x0000_t202" style="position:absolute;left:0;text-align:left;margin-left:-85.05pt;margin-top:16.6pt;width:594.4pt;height:178.6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2pPwIAAE0EAAAOAAAAZHJzL2Uyb0RvYy54bWysVO1u2yAU/T9p74D47zh28EejOFXixFOl&#10;apvU7gEIxok1Gzwgibuqj9Sn2IvtgpM02/5M0/7gCxcO5xzu9ey2bxt04ErXUmQ4GI0x4oLJshbb&#10;DH95LLwUI22oKGkjBc/wE9f4dv7+3ezYTXkod7IpuUIAIvT02GV4Z0w39X3NdryleiQ7LiBZSdVS&#10;A1O19UtFj4DeNn44Hsf+UaqyU5JxrWF1NSTx3OFXFWfmU1VpblCTYeBm3KjcuLGjP5/R6VbRblez&#10;Ew36DyxaWgu49AK1ooaivar/gGprpqSWlRkx2fqyqmrGnQZQE4x/U/Owox13WsAc3V1s0v8Pln08&#10;fFaoLjMcYiRoC0/0+OPV7BuJAieI9+ZeGysNokHSc1GEy2hdEK+AyCPjJfGWa3LjFeEkXYdJkYeT&#10;+MWeDuIpU5waKI678mxvEP8d/dNDW2OI7wx2PJ/zyYqsijTy0jgnHiF56C0WSeEFSRRFyXKxiPLx&#10;i31Y33E+f50K/9jpqdNsK8SFDx0YYPql7KF+nWTd3Uv2VVuEqz3DAQ27rRl9pVr7hRdEcBBK6+lS&#10;TtYoBotJRNI0hRSDXBjGaUKSE6/z8U5p84HLFtkgwwrq1VGgB6A7SDhvsbcJWdRNcyY2cLEUTb/p&#10;YdWGG1k+gSBoScDbSfUdoyOUd4b1tz1VHKPmTkD93ASE2H5wExIlIUzUdWbzS8Y0uRw6iAoGqBke&#10;eAq52BtZ1Y7r2/Un56Bmnfun/rJNcT13u97+AvOfAAAA//8DAFBLAwQUAAYACAAAACEA+KPN8uAA&#10;AAAMAQAADwAAAGRycy9kb3ducmV2LnhtbEyPQU7DMBBF90jcwRokdq2dVtAS4lQIqQIhNoQewI2H&#10;JEo8tmI7CZwedwXLmXn6835xWMzAJhx9Z0lCthbAkGqrO2oknD6Pqz0wHxRpNVhCCd/o4VBeXxUq&#10;13amD5yq0LAUQj5XEtoQXM65r1s0yq+tQ0q3LzsaFdI4NlyPak7hZuAbIe65UR2lD61y+Nxi3VfR&#10;SDjGl1cz/fDo3qp6ptb18fTeS3l7szw9Agu4hD8YLvpJHcrkdLaRtGeDhFW2E1liJWy3G2AXQmT7&#10;HbBz2jyIO+Blwf+XKH8BAAD//wMAUEsBAi0AFAAGAAgAAAAhALaDOJL+AAAA4QEAABMAAAAAAAAA&#10;AAAAAAAAAAAAAFtDb250ZW50X1R5cGVzXS54bWxQSwECLQAUAAYACAAAACEAOP0h/9YAAACUAQAA&#10;CwAAAAAAAAAAAAAAAAAvAQAAX3JlbHMvLnJlbHNQSwECLQAUAAYACAAAACEAv1rNqT8CAABNBAAA&#10;DgAAAAAAAAAAAAAAAAAuAgAAZHJzL2Uyb0RvYy54bWxQSwECLQAUAAYACAAAACEA+KPN8uAAAAAM&#10;AQAADwAAAAAAAAAAAAAAAACZBAAAZHJzL2Rvd25yZXYueG1sUEsFBgAAAAAEAAQA8wAAAKYFAAAA&#10;AA==&#10;" filled="f" stroked="f">
                <v:path arrowok="t"/>
                <v:textbox>
                  <w:txbxContent>
                    <w:p w14:paraId="268DBCCB" w14:textId="77777777" w:rsidR="00EE2214" w:rsidRDefault="00EE2214" w:rsidP="00E33F88">
                      <w:pPr>
                        <w:spacing w:line="240" w:lineRule="auto"/>
                        <w:jc w:val="center"/>
                        <w:rPr>
                          <w:rFonts w:ascii="Calibri" w:hAnsi="Calibri" w:cs="Calibri"/>
                          <w:b/>
                          <w:bCs/>
                          <w:color w:val="FFFFFF" w:themeColor="background1"/>
                          <w:sz w:val="48"/>
                          <w:szCs w:val="48"/>
                        </w:rPr>
                      </w:pPr>
                    </w:p>
                    <w:p w14:paraId="26906D06" w14:textId="11F8AA77" w:rsidR="00EE2214" w:rsidRPr="00C16074" w:rsidRDefault="00EE2214" w:rsidP="00E33F88">
                      <w:pPr>
                        <w:spacing w:line="240" w:lineRule="auto"/>
                        <w:jc w:val="center"/>
                        <w:rPr>
                          <w:rFonts w:ascii="Calibri" w:hAnsi="Calibri" w:cs="Calibri"/>
                          <w:b/>
                          <w:bCs/>
                          <w:color w:val="FFFFFF" w:themeColor="background1"/>
                          <w:sz w:val="56"/>
                          <w:szCs w:val="56"/>
                        </w:rPr>
                      </w:pPr>
                      <w:r>
                        <w:rPr>
                          <w:rFonts w:ascii="Calibri" w:hAnsi="Calibri" w:cs="Calibri"/>
                          <w:b/>
                          <w:bCs/>
                          <w:color w:val="FFFFFF" w:themeColor="background1"/>
                          <w:sz w:val="56"/>
                          <w:szCs w:val="56"/>
                        </w:rPr>
                        <w:t>RELATÓRIO DA ADMINISTRAÇÃO</w:t>
                      </w:r>
                    </w:p>
                    <w:p w14:paraId="0DB33847" w14:textId="75A2AE15" w:rsidR="00EE2214" w:rsidRPr="00C16074" w:rsidRDefault="00EE2214" w:rsidP="00E33F88">
                      <w:pPr>
                        <w:spacing w:line="240" w:lineRule="auto"/>
                        <w:jc w:val="center"/>
                        <w:rPr>
                          <w:rFonts w:ascii="Calibri" w:hAnsi="Calibri" w:cs="Calibri"/>
                          <w:color w:val="95B3D7" w:themeColor="accent1" w:themeTint="99"/>
                          <w:sz w:val="48"/>
                          <w:szCs w:val="48"/>
                        </w:rPr>
                      </w:pPr>
                      <w:r>
                        <w:rPr>
                          <w:rFonts w:ascii="Calibri" w:hAnsi="Calibri" w:cs="Calibri"/>
                          <w:color w:val="95B3D7" w:themeColor="accent1" w:themeTint="99"/>
                          <w:sz w:val="48"/>
                          <w:szCs w:val="48"/>
                        </w:rPr>
                        <w:t>2023</w:t>
                      </w:r>
                    </w:p>
                  </w:txbxContent>
                </v:textbox>
                <w10:wrap anchorx="margin"/>
              </v:shape>
            </w:pict>
          </mc:Fallback>
        </mc:AlternateContent>
      </w:r>
    </w:p>
    <w:p w14:paraId="7448EBDC" w14:textId="77777777" w:rsidR="00EE740F" w:rsidRPr="00212531" w:rsidRDefault="00EE740F" w:rsidP="00EE740F">
      <w:pPr>
        <w:spacing w:line="276" w:lineRule="auto"/>
        <w:rPr>
          <w:rFonts w:cs="Arial"/>
        </w:rPr>
      </w:pPr>
    </w:p>
    <w:p w14:paraId="2C8D3F99" w14:textId="77777777" w:rsidR="00EE740F" w:rsidRPr="00212531" w:rsidRDefault="00EE740F" w:rsidP="00EE740F">
      <w:pPr>
        <w:spacing w:line="276" w:lineRule="auto"/>
        <w:rPr>
          <w:rFonts w:cs="Arial"/>
          <w:b/>
          <w:bCs/>
        </w:rPr>
      </w:pPr>
    </w:p>
    <w:p w14:paraId="41CDA0FB" w14:textId="77777777" w:rsidR="00EE740F" w:rsidRPr="00212531" w:rsidRDefault="00EE740F" w:rsidP="00EE740F">
      <w:pPr>
        <w:spacing w:line="276" w:lineRule="auto"/>
        <w:rPr>
          <w:rFonts w:cs="Arial"/>
          <w:b/>
          <w:bCs/>
        </w:rPr>
      </w:pPr>
    </w:p>
    <w:p w14:paraId="08A59334" w14:textId="77777777" w:rsidR="00EE740F" w:rsidRPr="00212531" w:rsidRDefault="00EE740F" w:rsidP="00EE740F">
      <w:pPr>
        <w:spacing w:line="276" w:lineRule="auto"/>
        <w:rPr>
          <w:rFonts w:cs="Arial"/>
          <w:b/>
          <w:bCs/>
        </w:rPr>
      </w:pPr>
    </w:p>
    <w:p w14:paraId="530CF972" w14:textId="77777777" w:rsidR="00EE740F" w:rsidRPr="00212531" w:rsidRDefault="00EE740F" w:rsidP="00EE740F">
      <w:pPr>
        <w:spacing w:line="276" w:lineRule="auto"/>
        <w:rPr>
          <w:rFonts w:cs="Arial"/>
          <w:b/>
          <w:bCs/>
        </w:rPr>
      </w:pPr>
    </w:p>
    <w:p w14:paraId="33CA7629" w14:textId="77777777" w:rsidR="00EE740F" w:rsidRPr="00212531" w:rsidRDefault="00EE740F" w:rsidP="00EE740F">
      <w:pPr>
        <w:spacing w:line="276" w:lineRule="auto"/>
        <w:rPr>
          <w:rFonts w:cs="Arial"/>
          <w:b/>
          <w:bCs/>
        </w:rPr>
      </w:pPr>
    </w:p>
    <w:p w14:paraId="78E15849" w14:textId="77777777" w:rsidR="00023362" w:rsidRDefault="00023362" w:rsidP="00270C8A">
      <w:pPr>
        <w:spacing w:before="0" w:after="0"/>
        <w:rPr>
          <w:rFonts w:cstheme="minorHAnsi"/>
          <w:b/>
          <w:bCs/>
        </w:rPr>
      </w:pPr>
    </w:p>
    <w:p w14:paraId="0E1D4800" w14:textId="77777777" w:rsidR="00023362" w:rsidRDefault="00023362" w:rsidP="00270C8A">
      <w:pPr>
        <w:spacing w:before="0" w:after="0"/>
        <w:rPr>
          <w:rFonts w:cstheme="minorHAnsi"/>
          <w:b/>
          <w:bCs/>
        </w:rPr>
      </w:pPr>
    </w:p>
    <w:p w14:paraId="76395427" w14:textId="77777777" w:rsidR="00023362" w:rsidRDefault="00023362" w:rsidP="00270C8A">
      <w:pPr>
        <w:spacing w:before="0" w:after="0"/>
        <w:rPr>
          <w:rFonts w:cstheme="minorHAnsi"/>
          <w:b/>
          <w:bCs/>
        </w:rPr>
      </w:pPr>
    </w:p>
    <w:p w14:paraId="61C5CBA9" w14:textId="77777777" w:rsidR="00023362" w:rsidRDefault="00023362" w:rsidP="00270C8A">
      <w:pPr>
        <w:spacing w:before="0" w:after="0"/>
        <w:rPr>
          <w:rFonts w:cstheme="minorHAnsi"/>
          <w:b/>
          <w:bCs/>
        </w:rPr>
      </w:pPr>
    </w:p>
    <w:p w14:paraId="02BF2115" w14:textId="6769D2B8" w:rsidR="00786C81" w:rsidRPr="00270C8A" w:rsidRDefault="00786C81" w:rsidP="00270C8A">
      <w:pPr>
        <w:spacing w:before="0" w:after="0"/>
        <w:rPr>
          <w:rFonts w:cstheme="minorHAnsi"/>
          <w:b/>
          <w:bCs/>
        </w:rPr>
      </w:pPr>
      <w:r w:rsidRPr="00270C8A">
        <w:rPr>
          <w:rFonts w:cstheme="minorHAnsi"/>
          <w:b/>
          <w:bCs/>
        </w:rPr>
        <w:t>TELECOMUNICAÇÕES BRASILEIRAS S</w:t>
      </w:r>
      <w:r w:rsidR="0088177F">
        <w:rPr>
          <w:rFonts w:cstheme="minorHAnsi"/>
          <w:b/>
          <w:bCs/>
        </w:rPr>
        <w:t>.</w:t>
      </w:r>
      <w:r w:rsidRPr="00270C8A">
        <w:rPr>
          <w:rFonts w:cstheme="minorHAnsi"/>
          <w:b/>
          <w:bCs/>
        </w:rPr>
        <w:t>A</w:t>
      </w:r>
      <w:r w:rsidR="0088177F">
        <w:rPr>
          <w:rFonts w:cstheme="minorHAnsi"/>
          <w:b/>
          <w:bCs/>
        </w:rPr>
        <w:t>.</w:t>
      </w:r>
      <w:r w:rsidRPr="00270C8A">
        <w:rPr>
          <w:rFonts w:cstheme="minorHAnsi"/>
          <w:b/>
          <w:bCs/>
        </w:rPr>
        <w:t xml:space="preserve"> - </w:t>
      </w:r>
      <w:r w:rsidR="00F73477" w:rsidRPr="00270C8A">
        <w:rPr>
          <w:rFonts w:cstheme="minorHAnsi"/>
          <w:b/>
          <w:bCs/>
        </w:rPr>
        <w:t>TELEBRAS</w:t>
      </w:r>
    </w:p>
    <w:p w14:paraId="17640068" w14:textId="77777777" w:rsidR="00CE535B" w:rsidRPr="00270C8A" w:rsidRDefault="00CE535B" w:rsidP="00270C8A">
      <w:pPr>
        <w:spacing w:before="0" w:after="0"/>
        <w:rPr>
          <w:rFonts w:cstheme="minorHAnsi"/>
        </w:rPr>
      </w:pPr>
    </w:p>
    <w:p w14:paraId="2C0F2024" w14:textId="6C5ECAD7" w:rsidR="00786C81" w:rsidRPr="00270C8A" w:rsidRDefault="00786C81" w:rsidP="00270C8A">
      <w:pPr>
        <w:spacing w:before="0" w:after="0"/>
        <w:rPr>
          <w:rStyle w:val="A3"/>
          <w:rFonts w:cstheme="minorHAnsi"/>
          <w:b/>
          <w:color w:val="002060"/>
          <w:sz w:val="24"/>
          <w:szCs w:val="24"/>
        </w:rPr>
      </w:pPr>
      <w:r w:rsidRPr="00270C8A">
        <w:rPr>
          <w:rStyle w:val="A3"/>
          <w:rFonts w:cstheme="minorHAnsi"/>
          <w:b/>
          <w:color w:val="002060"/>
          <w:sz w:val="24"/>
          <w:szCs w:val="24"/>
        </w:rPr>
        <w:t xml:space="preserve">PRESIDENTE </w:t>
      </w:r>
    </w:p>
    <w:p w14:paraId="0C4D3025" w14:textId="1D681790" w:rsidR="003807F5" w:rsidRPr="00270C8A" w:rsidRDefault="002E0A1C" w:rsidP="00270C8A">
      <w:pPr>
        <w:spacing w:before="0" w:after="0"/>
        <w:rPr>
          <w:rFonts w:cstheme="minorHAnsi"/>
        </w:rPr>
      </w:pPr>
      <w:r>
        <w:rPr>
          <w:rStyle w:val="A3"/>
          <w:rFonts w:cstheme="minorHAnsi"/>
          <w:color w:val="002060"/>
          <w:sz w:val="24"/>
          <w:szCs w:val="24"/>
        </w:rPr>
        <w:t>Frederico de Siqueira Filho</w:t>
      </w:r>
    </w:p>
    <w:p w14:paraId="0C75073E" w14:textId="77777777" w:rsidR="007106DF" w:rsidRPr="00270C8A" w:rsidRDefault="007106DF" w:rsidP="00270C8A">
      <w:pPr>
        <w:spacing w:before="0" w:after="0"/>
        <w:rPr>
          <w:rFonts w:cstheme="minorHAnsi"/>
        </w:rPr>
      </w:pPr>
    </w:p>
    <w:p w14:paraId="60EFF671" w14:textId="4B7C747B" w:rsidR="007106DF" w:rsidRPr="00270C8A" w:rsidRDefault="007106DF" w:rsidP="00270C8A">
      <w:pPr>
        <w:spacing w:before="0" w:after="0"/>
        <w:rPr>
          <w:rStyle w:val="A3"/>
          <w:rFonts w:cstheme="minorHAnsi"/>
          <w:b/>
          <w:color w:val="002060"/>
          <w:sz w:val="24"/>
          <w:szCs w:val="24"/>
        </w:rPr>
      </w:pPr>
      <w:r w:rsidRPr="00270C8A">
        <w:rPr>
          <w:rStyle w:val="A3"/>
          <w:rFonts w:cstheme="minorHAnsi"/>
          <w:b/>
          <w:color w:val="002060"/>
          <w:sz w:val="24"/>
          <w:szCs w:val="24"/>
        </w:rPr>
        <w:t>DIRETOR</w:t>
      </w:r>
      <w:r w:rsidR="002E0A1C">
        <w:rPr>
          <w:rStyle w:val="A3"/>
          <w:rFonts w:cstheme="minorHAnsi"/>
          <w:b/>
          <w:color w:val="002060"/>
          <w:sz w:val="24"/>
          <w:szCs w:val="24"/>
        </w:rPr>
        <w:t>A</w:t>
      </w:r>
      <w:r w:rsidRPr="00270C8A">
        <w:rPr>
          <w:rStyle w:val="A3"/>
          <w:rFonts w:cstheme="minorHAnsi"/>
          <w:b/>
          <w:color w:val="002060"/>
          <w:sz w:val="24"/>
          <w:szCs w:val="24"/>
        </w:rPr>
        <w:t xml:space="preserve"> ADMINIST</w:t>
      </w:r>
      <w:r w:rsidR="00B01896">
        <w:rPr>
          <w:rStyle w:val="A3"/>
          <w:rFonts w:cstheme="minorHAnsi"/>
          <w:b/>
          <w:color w:val="002060"/>
          <w:sz w:val="24"/>
          <w:szCs w:val="24"/>
        </w:rPr>
        <w:t>R</w:t>
      </w:r>
      <w:r w:rsidRPr="00270C8A">
        <w:rPr>
          <w:rStyle w:val="A3"/>
          <w:rFonts w:cstheme="minorHAnsi"/>
          <w:b/>
          <w:color w:val="002060"/>
          <w:sz w:val="24"/>
          <w:szCs w:val="24"/>
        </w:rPr>
        <w:t>ATIV</w:t>
      </w:r>
      <w:r w:rsidR="002E0A1C">
        <w:rPr>
          <w:rStyle w:val="A3"/>
          <w:rFonts w:cstheme="minorHAnsi"/>
          <w:b/>
          <w:color w:val="002060"/>
          <w:sz w:val="24"/>
          <w:szCs w:val="24"/>
        </w:rPr>
        <w:t>A</w:t>
      </w:r>
      <w:r w:rsidRPr="00270C8A">
        <w:rPr>
          <w:rStyle w:val="A3"/>
          <w:rFonts w:cstheme="minorHAnsi"/>
          <w:b/>
          <w:color w:val="002060"/>
          <w:sz w:val="24"/>
          <w:szCs w:val="24"/>
        </w:rPr>
        <w:t>-FINANCEIR</w:t>
      </w:r>
      <w:r w:rsidR="002E0A1C">
        <w:rPr>
          <w:rStyle w:val="A3"/>
          <w:rFonts w:cstheme="minorHAnsi"/>
          <w:b/>
          <w:color w:val="002060"/>
          <w:sz w:val="24"/>
          <w:szCs w:val="24"/>
        </w:rPr>
        <w:t>A E RELAÇÕES COM INVESTIDORES</w:t>
      </w:r>
    </w:p>
    <w:p w14:paraId="6A4FBA87" w14:textId="3211C787" w:rsidR="005E1A4D" w:rsidRPr="00270C8A" w:rsidRDefault="002E0A1C" w:rsidP="005E1A4D">
      <w:pPr>
        <w:spacing w:before="0" w:after="0"/>
        <w:rPr>
          <w:rStyle w:val="A3"/>
          <w:rFonts w:cstheme="minorHAnsi"/>
          <w:color w:val="002060"/>
          <w:sz w:val="24"/>
          <w:szCs w:val="24"/>
          <w:lang w:eastAsia="pt-BR"/>
        </w:rPr>
      </w:pPr>
      <w:r>
        <w:rPr>
          <w:rStyle w:val="A3"/>
          <w:rFonts w:cstheme="minorHAnsi"/>
          <w:color w:val="002060"/>
          <w:sz w:val="24"/>
          <w:szCs w:val="24"/>
          <w:lang w:eastAsia="pt-BR"/>
        </w:rPr>
        <w:t>Tatiana Rúbia Melo Miranda</w:t>
      </w:r>
    </w:p>
    <w:p w14:paraId="2EBD724B" w14:textId="4A4126F1" w:rsidR="007106DF" w:rsidRDefault="007106DF" w:rsidP="00270C8A">
      <w:pPr>
        <w:spacing w:before="0" w:after="0"/>
        <w:rPr>
          <w:rFonts w:cstheme="minorHAnsi"/>
        </w:rPr>
      </w:pPr>
    </w:p>
    <w:p w14:paraId="00B03FE9" w14:textId="77777777" w:rsidR="002E0A1C" w:rsidRPr="00270C8A" w:rsidRDefault="002E0A1C" w:rsidP="002E0A1C">
      <w:pPr>
        <w:spacing w:before="0" w:after="0"/>
        <w:rPr>
          <w:rStyle w:val="A3"/>
          <w:rFonts w:cstheme="minorHAnsi"/>
          <w:b/>
          <w:color w:val="002060"/>
          <w:sz w:val="24"/>
          <w:szCs w:val="24"/>
        </w:rPr>
      </w:pPr>
      <w:r w:rsidRPr="00270C8A">
        <w:rPr>
          <w:rStyle w:val="A3"/>
          <w:rFonts w:cstheme="minorHAnsi"/>
          <w:b/>
          <w:color w:val="002060"/>
          <w:sz w:val="24"/>
          <w:szCs w:val="24"/>
        </w:rPr>
        <w:t>DIRETOR TÉCNICO-OPERACIONAL</w:t>
      </w:r>
    </w:p>
    <w:p w14:paraId="04907729" w14:textId="303FEFE6" w:rsidR="002E0A1C" w:rsidRPr="00270C8A" w:rsidRDefault="002E0A1C" w:rsidP="002E0A1C">
      <w:pPr>
        <w:spacing w:before="0" w:after="0"/>
        <w:rPr>
          <w:rStyle w:val="A3"/>
          <w:rFonts w:cstheme="minorHAnsi"/>
          <w:color w:val="002060"/>
          <w:sz w:val="24"/>
          <w:szCs w:val="24"/>
          <w:lang w:eastAsia="pt-BR"/>
        </w:rPr>
      </w:pPr>
      <w:proofErr w:type="spellStart"/>
      <w:r>
        <w:rPr>
          <w:rStyle w:val="A3"/>
          <w:rFonts w:cstheme="minorHAnsi"/>
          <w:color w:val="002060"/>
          <w:sz w:val="24"/>
          <w:szCs w:val="24"/>
          <w:lang w:eastAsia="pt-BR"/>
        </w:rPr>
        <w:t>Nauro</w:t>
      </w:r>
      <w:proofErr w:type="spellEnd"/>
      <w:r>
        <w:rPr>
          <w:rStyle w:val="A3"/>
          <w:rFonts w:cstheme="minorHAnsi"/>
          <w:color w:val="002060"/>
          <w:sz w:val="24"/>
          <w:szCs w:val="24"/>
          <w:lang w:eastAsia="pt-BR"/>
        </w:rPr>
        <w:t xml:space="preserve"> Luiz </w:t>
      </w:r>
      <w:proofErr w:type="spellStart"/>
      <w:r>
        <w:rPr>
          <w:rStyle w:val="A3"/>
          <w:rFonts w:cstheme="minorHAnsi"/>
          <w:color w:val="002060"/>
          <w:sz w:val="24"/>
          <w:szCs w:val="24"/>
          <w:lang w:eastAsia="pt-BR"/>
        </w:rPr>
        <w:t>Scheufler</w:t>
      </w:r>
      <w:proofErr w:type="spellEnd"/>
    </w:p>
    <w:p w14:paraId="407FC4DE" w14:textId="77777777" w:rsidR="002E0A1C" w:rsidRPr="00270C8A" w:rsidRDefault="002E0A1C" w:rsidP="00270C8A">
      <w:pPr>
        <w:spacing w:before="0" w:after="0"/>
        <w:rPr>
          <w:rFonts w:cstheme="minorHAnsi"/>
        </w:rPr>
      </w:pPr>
    </w:p>
    <w:p w14:paraId="79BC5D58" w14:textId="1D9A3413" w:rsidR="008901DA" w:rsidRPr="00270C8A" w:rsidRDefault="008901DA" w:rsidP="00270C8A">
      <w:pPr>
        <w:spacing w:before="0" w:after="0"/>
        <w:rPr>
          <w:rStyle w:val="A3"/>
          <w:rFonts w:cstheme="minorHAnsi"/>
          <w:b/>
          <w:color w:val="002060"/>
          <w:sz w:val="24"/>
          <w:szCs w:val="24"/>
        </w:rPr>
      </w:pPr>
      <w:r w:rsidRPr="00270C8A">
        <w:rPr>
          <w:rStyle w:val="A3"/>
          <w:rFonts w:cstheme="minorHAnsi"/>
          <w:b/>
          <w:color w:val="002060"/>
          <w:sz w:val="24"/>
          <w:szCs w:val="24"/>
        </w:rPr>
        <w:t>DIRETOR COMERCIAL</w:t>
      </w:r>
    </w:p>
    <w:p w14:paraId="4A560263" w14:textId="2BD839D5" w:rsidR="008901DA" w:rsidRPr="00270C8A" w:rsidRDefault="002E0A1C" w:rsidP="00270C8A">
      <w:pPr>
        <w:spacing w:before="0" w:after="0"/>
        <w:rPr>
          <w:rFonts w:cstheme="minorHAnsi"/>
        </w:rPr>
      </w:pPr>
      <w:r>
        <w:rPr>
          <w:rFonts w:cstheme="minorHAnsi"/>
        </w:rPr>
        <w:t>Levi Figueiredo</w:t>
      </w:r>
    </w:p>
    <w:p w14:paraId="60A66EE6" w14:textId="331A601A" w:rsidR="008901DA" w:rsidRPr="00270C8A" w:rsidRDefault="008901DA" w:rsidP="00270C8A">
      <w:pPr>
        <w:spacing w:before="0" w:after="0"/>
        <w:rPr>
          <w:rStyle w:val="A3"/>
          <w:rFonts w:cstheme="minorHAnsi"/>
          <w:b/>
          <w:color w:val="002060"/>
          <w:sz w:val="24"/>
          <w:szCs w:val="24"/>
          <w:lang w:eastAsia="pt-BR"/>
        </w:rPr>
      </w:pPr>
    </w:p>
    <w:p w14:paraId="226221B1" w14:textId="0D4BF9B5" w:rsidR="007106DF" w:rsidRPr="00270C8A" w:rsidRDefault="007106DF" w:rsidP="00270C8A">
      <w:pPr>
        <w:spacing w:before="0" w:after="0"/>
        <w:rPr>
          <w:rStyle w:val="A3"/>
          <w:rFonts w:cstheme="minorHAnsi"/>
          <w:b/>
          <w:color w:val="002060"/>
          <w:sz w:val="24"/>
          <w:szCs w:val="24"/>
        </w:rPr>
      </w:pPr>
      <w:r w:rsidRPr="00270C8A">
        <w:rPr>
          <w:rStyle w:val="A3"/>
          <w:rFonts w:cstheme="minorHAnsi"/>
          <w:b/>
          <w:color w:val="002060"/>
          <w:sz w:val="24"/>
          <w:szCs w:val="24"/>
        </w:rPr>
        <w:t>DIRETOR DE GOVERNANÇA</w:t>
      </w:r>
    </w:p>
    <w:p w14:paraId="1859060E" w14:textId="0CF2BC41" w:rsidR="007106DF" w:rsidRPr="00270C8A" w:rsidRDefault="002E0A1C" w:rsidP="00270C8A">
      <w:pPr>
        <w:spacing w:before="0" w:after="0"/>
        <w:rPr>
          <w:rStyle w:val="A3"/>
          <w:rFonts w:cstheme="minorHAnsi"/>
          <w:color w:val="002060"/>
          <w:sz w:val="24"/>
          <w:szCs w:val="24"/>
          <w:lang w:eastAsia="pt-BR"/>
        </w:rPr>
      </w:pPr>
      <w:proofErr w:type="spellStart"/>
      <w:r>
        <w:rPr>
          <w:rStyle w:val="A3"/>
          <w:rFonts w:cstheme="minorHAnsi"/>
          <w:color w:val="002060"/>
          <w:sz w:val="24"/>
          <w:szCs w:val="24"/>
          <w:lang w:eastAsia="pt-BR"/>
        </w:rPr>
        <w:t>Wallyson</w:t>
      </w:r>
      <w:proofErr w:type="spellEnd"/>
      <w:r>
        <w:rPr>
          <w:rStyle w:val="A3"/>
          <w:rFonts w:cstheme="minorHAnsi"/>
          <w:color w:val="002060"/>
          <w:sz w:val="24"/>
          <w:szCs w:val="24"/>
          <w:lang w:eastAsia="pt-BR"/>
        </w:rPr>
        <w:t xml:space="preserve"> Lemos dos Reis Oliveira</w:t>
      </w:r>
    </w:p>
    <w:p w14:paraId="2A4A15D7" w14:textId="22B9ED24" w:rsidR="00354116" w:rsidRPr="00270C8A" w:rsidRDefault="00354116" w:rsidP="00035BEE">
      <w:pPr>
        <w:spacing w:line="276" w:lineRule="auto"/>
        <w:rPr>
          <w:rStyle w:val="A3"/>
          <w:rFonts w:cstheme="minorHAnsi"/>
          <w:color w:val="002060"/>
          <w:sz w:val="24"/>
          <w:szCs w:val="24"/>
          <w:highlight w:val="yellow"/>
          <w:lang w:eastAsia="pt-BR"/>
        </w:rPr>
      </w:pPr>
    </w:p>
    <w:p w14:paraId="51CB38AC" w14:textId="7C49F9F8" w:rsidR="00875E77" w:rsidRPr="00270C8A" w:rsidRDefault="00875E77" w:rsidP="00035BEE">
      <w:pPr>
        <w:spacing w:line="276" w:lineRule="auto"/>
        <w:rPr>
          <w:rStyle w:val="A3"/>
          <w:rFonts w:cstheme="minorHAnsi"/>
          <w:color w:val="002060"/>
          <w:sz w:val="24"/>
          <w:szCs w:val="24"/>
          <w:highlight w:val="yellow"/>
          <w:lang w:eastAsia="pt-BR"/>
        </w:rPr>
      </w:pPr>
    </w:p>
    <w:p w14:paraId="3D0796FB" w14:textId="6737E6A2" w:rsidR="00875E77" w:rsidRPr="00270C8A" w:rsidRDefault="00875E77" w:rsidP="00035BEE">
      <w:pPr>
        <w:spacing w:line="276" w:lineRule="auto"/>
        <w:rPr>
          <w:rStyle w:val="A3"/>
          <w:rFonts w:cstheme="minorHAnsi"/>
          <w:color w:val="002060"/>
          <w:sz w:val="24"/>
          <w:szCs w:val="24"/>
          <w:highlight w:val="yellow"/>
          <w:lang w:eastAsia="pt-BR"/>
        </w:rPr>
      </w:pPr>
    </w:p>
    <w:p w14:paraId="6697D1AE" w14:textId="6953F193" w:rsidR="00875E77" w:rsidRPr="00270C8A" w:rsidRDefault="00875E77" w:rsidP="00035BEE">
      <w:pPr>
        <w:spacing w:line="276" w:lineRule="auto"/>
        <w:rPr>
          <w:rStyle w:val="A3"/>
          <w:rFonts w:cstheme="minorHAnsi"/>
          <w:color w:val="002060"/>
          <w:sz w:val="24"/>
          <w:szCs w:val="24"/>
          <w:highlight w:val="yellow"/>
          <w:lang w:eastAsia="pt-BR"/>
        </w:rPr>
      </w:pPr>
    </w:p>
    <w:p w14:paraId="54678DC9" w14:textId="49023F13" w:rsidR="00875E77" w:rsidRDefault="00875E77" w:rsidP="00035BEE">
      <w:pPr>
        <w:spacing w:line="276" w:lineRule="auto"/>
        <w:rPr>
          <w:rStyle w:val="A3"/>
          <w:rFonts w:cstheme="minorHAnsi"/>
          <w:color w:val="002060"/>
          <w:sz w:val="24"/>
          <w:szCs w:val="24"/>
          <w:highlight w:val="yellow"/>
          <w:lang w:eastAsia="pt-BR"/>
        </w:rPr>
      </w:pPr>
    </w:p>
    <w:p w14:paraId="763A852E" w14:textId="41FC5448" w:rsidR="00151706" w:rsidRDefault="00151706" w:rsidP="00035BEE">
      <w:pPr>
        <w:spacing w:line="276" w:lineRule="auto"/>
        <w:rPr>
          <w:rStyle w:val="A3"/>
          <w:rFonts w:cstheme="minorHAnsi"/>
          <w:color w:val="002060"/>
          <w:sz w:val="24"/>
          <w:szCs w:val="24"/>
          <w:highlight w:val="yellow"/>
          <w:lang w:eastAsia="pt-BR"/>
        </w:rPr>
      </w:pPr>
    </w:p>
    <w:p w14:paraId="79E007FE" w14:textId="1014A2F4" w:rsidR="001B6DF6" w:rsidRPr="00270C8A" w:rsidRDefault="001B6DF6" w:rsidP="00035BEE">
      <w:pPr>
        <w:spacing w:line="276" w:lineRule="auto"/>
        <w:rPr>
          <w:rStyle w:val="A3"/>
          <w:rFonts w:cstheme="minorHAnsi"/>
          <w:color w:val="002060"/>
          <w:sz w:val="24"/>
          <w:szCs w:val="24"/>
          <w:highlight w:val="yellow"/>
          <w:lang w:eastAsia="pt-BR"/>
        </w:rPr>
      </w:pPr>
    </w:p>
    <w:p w14:paraId="0688930A" w14:textId="3849FCF0" w:rsidR="000A5B07" w:rsidRPr="00270C8A" w:rsidRDefault="00685B03" w:rsidP="00035BEE">
      <w:pPr>
        <w:pStyle w:val="Pa5"/>
        <w:spacing w:line="276" w:lineRule="auto"/>
        <w:rPr>
          <w:rStyle w:val="A3"/>
          <w:rFonts w:asciiTheme="minorHAnsi" w:hAnsiTheme="minorHAnsi" w:cstheme="minorHAnsi"/>
          <w:b/>
          <w:color w:val="002060"/>
          <w:sz w:val="24"/>
          <w:szCs w:val="24"/>
        </w:rPr>
      </w:pPr>
      <w:r w:rsidRPr="00270C8A">
        <w:rPr>
          <w:rStyle w:val="A3"/>
          <w:rFonts w:asciiTheme="minorHAnsi" w:hAnsiTheme="minorHAnsi" w:cstheme="minorHAnsi"/>
          <w:b/>
          <w:color w:val="002060"/>
          <w:sz w:val="24"/>
          <w:szCs w:val="24"/>
        </w:rPr>
        <w:t xml:space="preserve">CONSOLIDADO </w:t>
      </w:r>
      <w:r w:rsidR="000A5B07" w:rsidRPr="00270C8A">
        <w:rPr>
          <w:rStyle w:val="A3"/>
          <w:rFonts w:asciiTheme="minorHAnsi" w:hAnsiTheme="minorHAnsi" w:cstheme="minorHAnsi"/>
          <w:b/>
          <w:color w:val="002060"/>
          <w:sz w:val="24"/>
          <w:szCs w:val="24"/>
        </w:rPr>
        <w:t xml:space="preserve">POR </w:t>
      </w:r>
    </w:p>
    <w:p w14:paraId="407DA86C" w14:textId="7D6E699D" w:rsidR="00354116" w:rsidRPr="00270C8A" w:rsidRDefault="004A6356" w:rsidP="00035BEE">
      <w:pPr>
        <w:pStyle w:val="Default"/>
        <w:spacing w:line="276" w:lineRule="auto"/>
        <w:ind w:firstLine="1"/>
        <w:rPr>
          <w:rFonts w:asciiTheme="minorHAnsi" w:hAnsiTheme="minorHAnsi" w:cstheme="minorHAnsi"/>
          <w:color w:val="002060"/>
        </w:rPr>
      </w:pPr>
      <w:r w:rsidRPr="00270C8A">
        <w:rPr>
          <w:rFonts w:asciiTheme="minorHAnsi" w:hAnsiTheme="minorHAnsi" w:cstheme="minorHAnsi"/>
          <w:color w:val="002060"/>
        </w:rPr>
        <w:t>Alex Luiz Martins Matheus da Rocha</w:t>
      </w:r>
    </w:p>
    <w:p w14:paraId="6B6CB3DE" w14:textId="77777777" w:rsidR="00EC6E3D" w:rsidRPr="00270C8A" w:rsidRDefault="00EC6E3D" w:rsidP="00035BEE">
      <w:pPr>
        <w:pStyle w:val="Default"/>
        <w:spacing w:line="276" w:lineRule="auto"/>
        <w:ind w:firstLine="1"/>
        <w:rPr>
          <w:rFonts w:asciiTheme="minorHAnsi" w:hAnsiTheme="minorHAnsi" w:cstheme="minorHAnsi"/>
          <w:color w:val="002060"/>
        </w:rPr>
      </w:pPr>
    </w:p>
    <w:p w14:paraId="4462C584" w14:textId="58B94AA9" w:rsidR="00EC6E3D" w:rsidRPr="00270C8A" w:rsidRDefault="00D1220E" w:rsidP="00035BEE">
      <w:pPr>
        <w:pStyle w:val="Pa5"/>
        <w:spacing w:line="276" w:lineRule="auto"/>
        <w:rPr>
          <w:rStyle w:val="A3"/>
          <w:rFonts w:asciiTheme="minorHAnsi" w:hAnsiTheme="minorHAnsi" w:cstheme="minorHAnsi"/>
          <w:b/>
          <w:color w:val="002060"/>
          <w:sz w:val="24"/>
          <w:szCs w:val="24"/>
        </w:rPr>
      </w:pPr>
      <w:r w:rsidRPr="00270C8A">
        <w:rPr>
          <w:rStyle w:val="A3"/>
          <w:rFonts w:asciiTheme="minorHAnsi" w:hAnsiTheme="minorHAnsi" w:cstheme="minorHAnsi"/>
          <w:b/>
          <w:color w:val="002060"/>
          <w:sz w:val="24"/>
          <w:szCs w:val="24"/>
        </w:rPr>
        <w:t>REVISA</w:t>
      </w:r>
      <w:r w:rsidR="00EC6E3D" w:rsidRPr="00270C8A">
        <w:rPr>
          <w:rStyle w:val="A3"/>
          <w:rFonts w:asciiTheme="minorHAnsi" w:hAnsiTheme="minorHAnsi" w:cstheme="minorHAnsi"/>
          <w:b/>
          <w:color w:val="002060"/>
          <w:sz w:val="24"/>
          <w:szCs w:val="24"/>
        </w:rPr>
        <w:t xml:space="preserve">DO POR </w:t>
      </w:r>
    </w:p>
    <w:p w14:paraId="2DF1123B" w14:textId="77777777" w:rsidR="00EC6E3D" w:rsidRPr="00270C8A" w:rsidRDefault="00EC6E3D" w:rsidP="00035BEE">
      <w:pPr>
        <w:pStyle w:val="Default"/>
        <w:spacing w:line="276" w:lineRule="auto"/>
        <w:ind w:firstLine="1"/>
        <w:rPr>
          <w:rFonts w:asciiTheme="minorHAnsi" w:hAnsiTheme="minorHAnsi" w:cstheme="minorHAnsi"/>
          <w:color w:val="002060"/>
        </w:rPr>
      </w:pPr>
      <w:r w:rsidRPr="00270C8A">
        <w:rPr>
          <w:rFonts w:asciiTheme="minorHAnsi" w:hAnsiTheme="minorHAnsi" w:cstheme="minorHAnsi"/>
          <w:color w:val="002060"/>
        </w:rPr>
        <w:t xml:space="preserve">Eduardo </w:t>
      </w:r>
      <w:proofErr w:type="spellStart"/>
      <w:r w:rsidRPr="00270C8A">
        <w:rPr>
          <w:rFonts w:asciiTheme="minorHAnsi" w:hAnsiTheme="minorHAnsi" w:cstheme="minorHAnsi"/>
          <w:color w:val="002060"/>
        </w:rPr>
        <w:t>Masashi</w:t>
      </w:r>
      <w:proofErr w:type="spellEnd"/>
      <w:r w:rsidRPr="00270C8A">
        <w:rPr>
          <w:rFonts w:asciiTheme="minorHAnsi" w:hAnsiTheme="minorHAnsi" w:cstheme="minorHAnsi"/>
          <w:color w:val="002060"/>
        </w:rPr>
        <w:t xml:space="preserve"> Sasaki</w:t>
      </w:r>
    </w:p>
    <w:p w14:paraId="3C53419C" w14:textId="1165F46C" w:rsidR="00424A78" w:rsidRPr="00BC107A" w:rsidRDefault="002E0A1C" w:rsidP="00BC107A">
      <w:pPr>
        <w:pStyle w:val="Default"/>
        <w:spacing w:line="276" w:lineRule="auto"/>
        <w:ind w:firstLine="1"/>
        <w:rPr>
          <w:rFonts w:asciiTheme="minorHAnsi" w:hAnsiTheme="minorHAnsi" w:cstheme="minorHAnsi"/>
          <w:color w:val="002060"/>
          <w:szCs w:val="18"/>
        </w:rPr>
      </w:pPr>
      <w:r>
        <w:rPr>
          <w:rFonts w:asciiTheme="minorHAnsi" w:hAnsiTheme="minorHAnsi" w:cstheme="minorHAnsi"/>
          <w:color w:val="002060"/>
          <w:szCs w:val="18"/>
        </w:rPr>
        <w:t>Rodrigo Ferreira Lima</w:t>
      </w:r>
    </w:p>
    <w:sdt>
      <w:sdtPr>
        <w:rPr>
          <w:rFonts w:ascii="Arial" w:eastAsia="Times New Roman" w:hAnsi="Arial" w:cs="Arial"/>
          <w:caps w:val="0"/>
          <w:color w:val="000000"/>
          <w:sz w:val="22"/>
          <w:szCs w:val="22"/>
          <w:lang w:eastAsia="en-US"/>
        </w:rPr>
        <w:id w:val="723026025"/>
        <w:docPartObj>
          <w:docPartGallery w:val="Table of Contents"/>
          <w:docPartUnique/>
        </w:docPartObj>
      </w:sdtPr>
      <w:sdtEndPr>
        <w:rPr>
          <w:rFonts w:asciiTheme="minorHAnsi" w:hAnsiTheme="minorHAnsi"/>
          <w:color w:val="002060"/>
        </w:rPr>
      </w:sdtEndPr>
      <w:sdtContent>
        <w:p w14:paraId="4DF28409" w14:textId="2AB5A51E" w:rsidR="00DE2F9E" w:rsidRPr="00270C8A" w:rsidRDefault="00DE2F9E" w:rsidP="0017586D">
          <w:pPr>
            <w:pStyle w:val="CabealhodoSumrio"/>
            <w:spacing w:after="240" w:line="276" w:lineRule="auto"/>
            <w:rPr>
              <w:rFonts w:asciiTheme="minorHAnsi" w:hAnsiTheme="minorHAnsi" w:cstheme="minorHAnsi"/>
              <w:b/>
              <w:bCs/>
              <w:color w:val="002060"/>
              <w:sz w:val="28"/>
              <w:szCs w:val="28"/>
            </w:rPr>
          </w:pPr>
          <w:r w:rsidRPr="00270C8A">
            <w:rPr>
              <w:rFonts w:asciiTheme="minorHAnsi" w:hAnsiTheme="minorHAnsi" w:cstheme="minorHAnsi"/>
              <w:b/>
              <w:bCs/>
              <w:color w:val="002060"/>
              <w:sz w:val="28"/>
              <w:szCs w:val="28"/>
            </w:rPr>
            <w:t>Sumário</w:t>
          </w:r>
        </w:p>
        <w:p w14:paraId="73B4350C" w14:textId="2D0B9625" w:rsidR="00EE2214" w:rsidRDefault="00DE2F9E" w:rsidP="00247165">
          <w:pPr>
            <w:pStyle w:val="Sumrio1"/>
            <w:spacing w:after="0"/>
            <w:ind w:left="540" w:hanging="540"/>
            <w:rPr>
              <w:rFonts w:eastAsiaTheme="minorEastAsia" w:cstheme="minorBidi"/>
              <w:color w:val="auto"/>
              <w:sz w:val="22"/>
              <w:szCs w:val="22"/>
              <w:lang w:eastAsia="pt-BR"/>
            </w:rPr>
          </w:pPr>
          <w:r w:rsidRPr="00CD2130">
            <w:rPr>
              <w:rFonts w:cstheme="minorHAnsi"/>
              <w:noProof w:val="0"/>
            </w:rPr>
            <w:fldChar w:fldCharType="begin"/>
          </w:r>
          <w:r w:rsidRPr="00CD2130">
            <w:rPr>
              <w:rFonts w:cstheme="minorHAnsi"/>
            </w:rPr>
            <w:instrText xml:space="preserve"> TOC \o "1-3" \h \z \u </w:instrText>
          </w:r>
          <w:r w:rsidRPr="00CD2130">
            <w:rPr>
              <w:rFonts w:cstheme="minorHAnsi"/>
              <w:noProof w:val="0"/>
            </w:rPr>
            <w:fldChar w:fldCharType="separate"/>
          </w:r>
          <w:hyperlink w:anchor="_Toc161319428" w:history="1">
            <w:r w:rsidR="00EE2214" w:rsidRPr="00A9707E">
              <w:rPr>
                <w:rStyle w:val="Hyperlink"/>
              </w:rPr>
              <w:t>1</w:t>
            </w:r>
            <w:r w:rsidR="00EE2214">
              <w:rPr>
                <w:rFonts w:eastAsiaTheme="minorEastAsia" w:cstheme="minorBidi"/>
                <w:color w:val="auto"/>
                <w:sz w:val="22"/>
                <w:szCs w:val="22"/>
                <w:lang w:eastAsia="pt-BR"/>
              </w:rPr>
              <w:tab/>
            </w:r>
            <w:r w:rsidR="00EE2214" w:rsidRPr="00A9707E">
              <w:rPr>
                <w:rStyle w:val="Hyperlink"/>
              </w:rPr>
              <w:t>Mensagem da Administração</w:t>
            </w:r>
            <w:r w:rsidR="00EE2214">
              <w:rPr>
                <w:webHidden/>
              </w:rPr>
              <w:tab/>
            </w:r>
            <w:r w:rsidR="00EE2214">
              <w:rPr>
                <w:webHidden/>
              </w:rPr>
              <w:fldChar w:fldCharType="begin"/>
            </w:r>
            <w:r w:rsidR="00EE2214">
              <w:rPr>
                <w:webHidden/>
              </w:rPr>
              <w:instrText xml:space="preserve"> PAGEREF _Toc161319428 \h </w:instrText>
            </w:r>
            <w:r w:rsidR="00EE2214">
              <w:rPr>
                <w:webHidden/>
              </w:rPr>
            </w:r>
            <w:r w:rsidR="00EE2214">
              <w:rPr>
                <w:webHidden/>
              </w:rPr>
              <w:fldChar w:fldCharType="separate"/>
            </w:r>
            <w:r w:rsidR="00247165">
              <w:rPr>
                <w:webHidden/>
              </w:rPr>
              <w:t>5</w:t>
            </w:r>
            <w:r w:rsidR="00EE2214">
              <w:rPr>
                <w:webHidden/>
              </w:rPr>
              <w:fldChar w:fldCharType="end"/>
            </w:r>
          </w:hyperlink>
        </w:p>
        <w:p w14:paraId="6364041E" w14:textId="7D3FC501" w:rsidR="00EE2214" w:rsidRDefault="006F713F" w:rsidP="00247165">
          <w:pPr>
            <w:pStyle w:val="Sumrio1"/>
            <w:spacing w:after="0"/>
            <w:ind w:left="540" w:hanging="540"/>
            <w:rPr>
              <w:rFonts w:eastAsiaTheme="minorEastAsia" w:cstheme="minorBidi"/>
              <w:color w:val="auto"/>
              <w:sz w:val="22"/>
              <w:szCs w:val="22"/>
              <w:lang w:eastAsia="pt-BR"/>
            </w:rPr>
          </w:pPr>
          <w:hyperlink w:anchor="_Toc161319429" w:history="1">
            <w:r w:rsidR="00EE2214" w:rsidRPr="00A9707E">
              <w:rPr>
                <w:rStyle w:val="Hyperlink"/>
              </w:rPr>
              <w:t>2</w:t>
            </w:r>
            <w:r w:rsidR="00EE2214">
              <w:rPr>
                <w:rFonts w:eastAsiaTheme="minorEastAsia" w:cstheme="minorBidi"/>
                <w:color w:val="auto"/>
                <w:sz w:val="22"/>
                <w:szCs w:val="22"/>
                <w:lang w:eastAsia="pt-BR"/>
              </w:rPr>
              <w:tab/>
            </w:r>
            <w:r w:rsidR="00EE2214" w:rsidRPr="00A9707E">
              <w:rPr>
                <w:rStyle w:val="Hyperlink"/>
              </w:rPr>
              <w:t>Perfil de Atuação</w:t>
            </w:r>
            <w:r w:rsidR="00EE2214">
              <w:rPr>
                <w:webHidden/>
              </w:rPr>
              <w:tab/>
            </w:r>
            <w:r w:rsidR="00EE2214">
              <w:rPr>
                <w:webHidden/>
              </w:rPr>
              <w:fldChar w:fldCharType="begin"/>
            </w:r>
            <w:r w:rsidR="00EE2214">
              <w:rPr>
                <w:webHidden/>
              </w:rPr>
              <w:instrText xml:space="preserve"> PAGEREF _Toc161319429 \h </w:instrText>
            </w:r>
            <w:r w:rsidR="00EE2214">
              <w:rPr>
                <w:webHidden/>
              </w:rPr>
            </w:r>
            <w:r w:rsidR="00EE2214">
              <w:rPr>
                <w:webHidden/>
              </w:rPr>
              <w:fldChar w:fldCharType="separate"/>
            </w:r>
            <w:r w:rsidR="00247165">
              <w:rPr>
                <w:webHidden/>
              </w:rPr>
              <w:t>7</w:t>
            </w:r>
            <w:r w:rsidR="00EE2214">
              <w:rPr>
                <w:webHidden/>
              </w:rPr>
              <w:fldChar w:fldCharType="end"/>
            </w:r>
          </w:hyperlink>
        </w:p>
        <w:p w14:paraId="0EFEEF5C" w14:textId="47275D68" w:rsidR="00EE2214" w:rsidRDefault="006F713F" w:rsidP="00247165">
          <w:pPr>
            <w:pStyle w:val="Sumrio1"/>
            <w:spacing w:after="0"/>
            <w:ind w:left="540" w:hanging="540"/>
            <w:rPr>
              <w:rFonts w:eastAsiaTheme="minorEastAsia" w:cstheme="minorBidi"/>
              <w:color w:val="auto"/>
              <w:sz w:val="22"/>
              <w:szCs w:val="22"/>
              <w:lang w:eastAsia="pt-BR"/>
            </w:rPr>
          </w:pPr>
          <w:hyperlink w:anchor="_Toc161319430" w:history="1">
            <w:r w:rsidR="00EE2214" w:rsidRPr="00A9707E">
              <w:rPr>
                <w:rStyle w:val="Hyperlink"/>
              </w:rPr>
              <w:t>3</w:t>
            </w:r>
            <w:r w:rsidR="00EE2214">
              <w:rPr>
                <w:rFonts w:eastAsiaTheme="minorEastAsia" w:cstheme="minorBidi"/>
                <w:color w:val="auto"/>
                <w:sz w:val="22"/>
                <w:szCs w:val="22"/>
                <w:lang w:eastAsia="pt-BR"/>
              </w:rPr>
              <w:tab/>
            </w:r>
            <w:r w:rsidR="00EE2214" w:rsidRPr="00A9707E">
              <w:rPr>
                <w:rStyle w:val="Hyperlink"/>
              </w:rPr>
              <w:t>Finanças</w:t>
            </w:r>
            <w:r w:rsidR="00EE2214">
              <w:rPr>
                <w:webHidden/>
              </w:rPr>
              <w:tab/>
            </w:r>
            <w:r w:rsidR="00EE2214">
              <w:rPr>
                <w:webHidden/>
              </w:rPr>
              <w:fldChar w:fldCharType="begin"/>
            </w:r>
            <w:r w:rsidR="00EE2214">
              <w:rPr>
                <w:webHidden/>
              </w:rPr>
              <w:instrText xml:space="preserve"> PAGEREF _Toc161319430 \h </w:instrText>
            </w:r>
            <w:r w:rsidR="00EE2214">
              <w:rPr>
                <w:webHidden/>
              </w:rPr>
            </w:r>
            <w:r w:rsidR="00EE2214">
              <w:rPr>
                <w:webHidden/>
              </w:rPr>
              <w:fldChar w:fldCharType="separate"/>
            </w:r>
            <w:r w:rsidR="00247165">
              <w:rPr>
                <w:webHidden/>
              </w:rPr>
              <w:t>9</w:t>
            </w:r>
            <w:r w:rsidR="00EE2214">
              <w:rPr>
                <w:webHidden/>
              </w:rPr>
              <w:fldChar w:fldCharType="end"/>
            </w:r>
          </w:hyperlink>
        </w:p>
        <w:p w14:paraId="65314495" w14:textId="7FFF40D9"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31" w:history="1">
            <w:r w:rsidR="00EE2214" w:rsidRPr="00A9707E">
              <w:rPr>
                <w:rStyle w:val="Hyperlink"/>
                <w:noProof/>
              </w:rPr>
              <w:t>3.1</w:t>
            </w:r>
            <w:r w:rsidR="00EE2214">
              <w:rPr>
                <w:rFonts w:eastAsiaTheme="minorEastAsia" w:cstheme="minorBidi"/>
                <w:noProof/>
                <w:color w:val="auto"/>
                <w:sz w:val="22"/>
                <w:szCs w:val="22"/>
                <w:lang w:eastAsia="pt-BR"/>
              </w:rPr>
              <w:tab/>
            </w:r>
            <w:r w:rsidR="00EE2214" w:rsidRPr="00A9707E">
              <w:rPr>
                <w:rStyle w:val="Hyperlink"/>
                <w:noProof/>
              </w:rPr>
              <w:t>Estrutura Patrimonial da Companhia – Principais Rubricas</w:t>
            </w:r>
            <w:r w:rsidR="00EE2214">
              <w:rPr>
                <w:noProof/>
                <w:webHidden/>
              </w:rPr>
              <w:tab/>
            </w:r>
            <w:r w:rsidR="00EE2214">
              <w:rPr>
                <w:noProof/>
                <w:webHidden/>
              </w:rPr>
              <w:fldChar w:fldCharType="begin"/>
            </w:r>
            <w:r w:rsidR="00EE2214">
              <w:rPr>
                <w:noProof/>
                <w:webHidden/>
              </w:rPr>
              <w:instrText xml:space="preserve"> PAGEREF _Toc161319431 \h </w:instrText>
            </w:r>
            <w:r w:rsidR="00EE2214">
              <w:rPr>
                <w:noProof/>
                <w:webHidden/>
              </w:rPr>
            </w:r>
            <w:r w:rsidR="00EE2214">
              <w:rPr>
                <w:noProof/>
                <w:webHidden/>
              </w:rPr>
              <w:fldChar w:fldCharType="separate"/>
            </w:r>
            <w:r w:rsidR="00247165">
              <w:rPr>
                <w:noProof/>
                <w:webHidden/>
              </w:rPr>
              <w:t>10</w:t>
            </w:r>
            <w:r w:rsidR="00EE2214">
              <w:rPr>
                <w:noProof/>
                <w:webHidden/>
              </w:rPr>
              <w:fldChar w:fldCharType="end"/>
            </w:r>
          </w:hyperlink>
        </w:p>
        <w:p w14:paraId="2E20EFC2" w14:textId="6F6BCBAA"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32" w:history="1">
            <w:r w:rsidR="00EE2214" w:rsidRPr="00A9707E">
              <w:rPr>
                <w:rStyle w:val="Hyperlink"/>
                <w:noProof/>
              </w:rPr>
              <w:t>3.2</w:t>
            </w:r>
            <w:r w:rsidR="00EE2214">
              <w:rPr>
                <w:rFonts w:eastAsiaTheme="minorEastAsia" w:cstheme="minorBidi"/>
                <w:noProof/>
                <w:color w:val="auto"/>
                <w:sz w:val="22"/>
                <w:szCs w:val="22"/>
                <w:lang w:eastAsia="pt-BR"/>
              </w:rPr>
              <w:tab/>
            </w:r>
            <w:r w:rsidR="00EE2214" w:rsidRPr="00A9707E">
              <w:rPr>
                <w:rStyle w:val="Hyperlink"/>
                <w:noProof/>
              </w:rPr>
              <w:t>Estrutura Econômica da Companhia – Principais Rubricas</w:t>
            </w:r>
            <w:r w:rsidR="00EE2214">
              <w:rPr>
                <w:noProof/>
                <w:webHidden/>
              </w:rPr>
              <w:tab/>
            </w:r>
            <w:r w:rsidR="00EE2214">
              <w:rPr>
                <w:noProof/>
                <w:webHidden/>
              </w:rPr>
              <w:fldChar w:fldCharType="begin"/>
            </w:r>
            <w:r w:rsidR="00EE2214">
              <w:rPr>
                <w:noProof/>
                <w:webHidden/>
              </w:rPr>
              <w:instrText xml:space="preserve"> PAGEREF _Toc161319432 \h </w:instrText>
            </w:r>
            <w:r w:rsidR="00EE2214">
              <w:rPr>
                <w:noProof/>
                <w:webHidden/>
              </w:rPr>
            </w:r>
            <w:r w:rsidR="00EE2214">
              <w:rPr>
                <w:noProof/>
                <w:webHidden/>
              </w:rPr>
              <w:fldChar w:fldCharType="separate"/>
            </w:r>
            <w:r w:rsidR="00247165">
              <w:rPr>
                <w:noProof/>
                <w:webHidden/>
              </w:rPr>
              <w:t>11</w:t>
            </w:r>
            <w:r w:rsidR="00EE2214">
              <w:rPr>
                <w:noProof/>
                <w:webHidden/>
              </w:rPr>
              <w:fldChar w:fldCharType="end"/>
            </w:r>
          </w:hyperlink>
        </w:p>
        <w:p w14:paraId="409AA0F8" w14:textId="31F99A41" w:rsidR="00EE2214" w:rsidRDefault="006F713F" w:rsidP="00247165">
          <w:pPr>
            <w:pStyle w:val="Sumrio3"/>
            <w:ind w:left="540" w:hanging="540"/>
            <w:rPr>
              <w:rFonts w:eastAsiaTheme="minorEastAsia" w:cstheme="minorBidi"/>
              <w:noProof/>
              <w:color w:val="auto"/>
              <w:sz w:val="22"/>
              <w:szCs w:val="22"/>
              <w:lang w:eastAsia="pt-BR"/>
            </w:rPr>
          </w:pPr>
          <w:hyperlink w:anchor="_Toc161319433" w:history="1">
            <w:r w:rsidR="00EE2214" w:rsidRPr="00A9707E">
              <w:rPr>
                <w:rStyle w:val="Hyperlink"/>
                <w:rFonts w:eastAsia="Arial"/>
                <w:noProof/>
              </w:rPr>
              <w:t>3.2.1</w:t>
            </w:r>
            <w:r w:rsidR="00EE2214">
              <w:rPr>
                <w:rFonts w:eastAsiaTheme="minorEastAsia" w:cstheme="minorBidi"/>
                <w:noProof/>
                <w:color w:val="auto"/>
                <w:sz w:val="22"/>
                <w:szCs w:val="22"/>
                <w:lang w:eastAsia="pt-BR"/>
              </w:rPr>
              <w:tab/>
            </w:r>
            <w:r w:rsidR="00EE2214" w:rsidRPr="00A9707E">
              <w:rPr>
                <w:rStyle w:val="Hyperlink"/>
                <w:noProof/>
              </w:rPr>
              <w:t>Receita Operacional Líquida</w:t>
            </w:r>
            <w:r w:rsidR="00EE2214">
              <w:rPr>
                <w:noProof/>
                <w:webHidden/>
              </w:rPr>
              <w:tab/>
            </w:r>
            <w:r w:rsidR="00EE2214">
              <w:rPr>
                <w:noProof/>
                <w:webHidden/>
              </w:rPr>
              <w:fldChar w:fldCharType="begin"/>
            </w:r>
            <w:r w:rsidR="00EE2214">
              <w:rPr>
                <w:noProof/>
                <w:webHidden/>
              </w:rPr>
              <w:instrText xml:space="preserve"> PAGEREF _Toc161319433 \h </w:instrText>
            </w:r>
            <w:r w:rsidR="00EE2214">
              <w:rPr>
                <w:noProof/>
                <w:webHidden/>
              </w:rPr>
            </w:r>
            <w:r w:rsidR="00EE2214">
              <w:rPr>
                <w:noProof/>
                <w:webHidden/>
              </w:rPr>
              <w:fldChar w:fldCharType="separate"/>
            </w:r>
            <w:r w:rsidR="00247165">
              <w:rPr>
                <w:noProof/>
                <w:webHidden/>
              </w:rPr>
              <w:t>12</w:t>
            </w:r>
            <w:r w:rsidR="00EE2214">
              <w:rPr>
                <w:noProof/>
                <w:webHidden/>
              </w:rPr>
              <w:fldChar w:fldCharType="end"/>
            </w:r>
          </w:hyperlink>
        </w:p>
        <w:p w14:paraId="071E2C7A" w14:textId="36CD9449" w:rsidR="00EE2214" w:rsidRDefault="006F713F" w:rsidP="00247165">
          <w:pPr>
            <w:pStyle w:val="Sumrio3"/>
            <w:ind w:left="540" w:hanging="540"/>
            <w:rPr>
              <w:rFonts w:eastAsiaTheme="minorEastAsia" w:cstheme="minorBidi"/>
              <w:noProof/>
              <w:color w:val="auto"/>
              <w:sz w:val="22"/>
              <w:szCs w:val="22"/>
              <w:lang w:eastAsia="pt-BR"/>
            </w:rPr>
          </w:pPr>
          <w:hyperlink w:anchor="_Toc161319434" w:history="1">
            <w:r w:rsidR="00EE2214" w:rsidRPr="00A9707E">
              <w:rPr>
                <w:rStyle w:val="Hyperlink"/>
                <w:noProof/>
              </w:rPr>
              <w:t>3.2.2</w:t>
            </w:r>
            <w:r w:rsidR="00EE2214">
              <w:rPr>
                <w:rFonts w:eastAsiaTheme="minorEastAsia" w:cstheme="minorBidi"/>
                <w:noProof/>
                <w:color w:val="auto"/>
                <w:sz w:val="22"/>
                <w:szCs w:val="22"/>
                <w:lang w:eastAsia="pt-BR"/>
              </w:rPr>
              <w:tab/>
            </w:r>
            <w:r w:rsidR="00EE2214" w:rsidRPr="00A9707E">
              <w:rPr>
                <w:rStyle w:val="Hyperlink"/>
                <w:noProof/>
              </w:rPr>
              <w:t>Custos e Despesas Vinculadas às Funções: Custo dos Serviços Prestados, Comercialização dos Serviços e Despesas Gerais e Administrativas (Exceto Depreciação e Amortização)</w:t>
            </w:r>
            <w:r w:rsidR="00EE2214">
              <w:rPr>
                <w:noProof/>
                <w:webHidden/>
              </w:rPr>
              <w:tab/>
            </w:r>
            <w:r w:rsidR="00EE2214">
              <w:rPr>
                <w:noProof/>
                <w:webHidden/>
              </w:rPr>
              <w:fldChar w:fldCharType="begin"/>
            </w:r>
            <w:r w:rsidR="00EE2214">
              <w:rPr>
                <w:noProof/>
                <w:webHidden/>
              </w:rPr>
              <w:instrText xml:space="preserve"> PAGEREF _Toc161319434 \h </w:instrText>
            </w:r>
            <w:r w:rsidR="00EE2214">
              <w:rPr>
                <w:noProof/>
                <w:webHidden/>
              </w:rPr>
            </w:r>
            <w:r w:rsidR="00EE2214">
              <w:rPr>
                <w:noProof/>
                <w:webHidden/>
              </w:rPr>
              <w:fldChar w:fldCharType="separate"/>
            </w:r>
            <w:r w:rsidR="00247165">
              <w:rPr>
                <w:noProof/>
                <w:webHidden/>
              </w:rPr>
              <w:t>13</w:t>
            </w:r>
            <w:r w:rsidR="00EE2214">
              <w:rPr>
                <w:noProof/>
                <w:webHidden/>
              </w:rPr>
              <w:fldChar w:fldCharType="end"/>
            </w:r>
          </w:hyperlink>
        </w:p>
        <w:p w14:paraId="2B9D0AC1" w14:textId="35B881F7" w:rsidR="00EE2214" w:rsidRDefault="006F713F" w:rsidP="00247165">
          <w:pPr>
            <w:pStyle w:val="Sumrio3"/>
            <w:ind w:left="540" w:hanging="540"/>
            <w:rPr>
              <w:rFonts w:eastAsiaTheme="minorEastAsia" w:cstheme="minorBidi"/>
              <w:noProof/>
              <w:color w:val="auto"/>
              <w:sz w:val="22"/>
              <w:szCs w:val="22"/>
              <w:lang w:eastAsia="pt-BR"/>
            </w:rPr>
          </w:pPr>
          <w:hyperlink w:anchor="_Toc161319435" w:history="1">
            <w:r w:rsidR="00EE2214" w:rsidRPr="00A9707E">
              <w:rPr>
                <w:rStyle w:val="Hyperlink"/>
                <w:noProof/>
              </w:rPr>
              <w:t>3.2.3</w:t>
            </w:r>
            <w:r w:rsidR="00EE2214">
              <w:rPr>
                <w:rFonts w:eastAsiaTheme="minorEastAsia" w:cstheme="minorBidi"/>
                <w:noProof/>
                <w:color w:val="auto"/>
                <w:sz w:val="22"/>
                <w:szCs w:val="22"/>
                <w:lang w:eastAsia="pt-BR"/>
              </w:rPr>
              <w:tab/>
            </w:r>
            <w:r w:rsidR="00EE2214" w:rsidRPr="00A9707E">
              <w:rPr>
                <w:rStyle w:val="Hyperlink"/>
                <w:noProof/>
              </w:rPr>
              <w:t>Depreciação e Amortização</w:t>
            </w:r>
            <w:r w:rsidR="00EE2214">
              <w:rPr>
                <w:noProof/>
                <w:webHidden/>
              </w:rPr>
              <w:tab/>
            </w:r>
            <w:r w:rsidR="00EE2214">
              <w:rPr>
                <w:noProof/>
                <w:webHidden/>
              </w:rPr>
              <w:fldChar w:fldCharType="begin"/>
            </w:r>
            <w:r w:rsidR="00EE2214">
              <w:rPr>
                <w:noProof/>
                <w:webHidden/>
              </w:rPr>
              <w:instrText xml:space="preserve"> PAGEREF _Toc161319435 \h </w:instrText>
            </w:r>
            <w:r w:rsidR="00EE2214">
              <w:rPr>
                <w:noProof/>
                <w:webHidden/>
              </w:rPr>
            </w:r>
            <w:r w:rsidR="00EE2214">
              <w:rPr>
                <w:noProof/>
                <w:webHidden/>
              </w:rPr>
              <w:fldChar w:fldCharType="separate"/>
            </w:r>
            <w:r w:rsidR="00247165">
              <w:rPr>
                <w:noProof/>
                <w:webHidden/>
              </w:rPr>
              <w:t>14</w:t>
            </w:r>
            <w:r w:rsidR="00EE2214">
              <w:rPr>
                <w:noProof/>
                <w:webHidden/>
              </w:rPr>
              <w:fldChar w:fldCharType="end"/>
            </w:r>
          </w:hyperlink>
        </w:p>
        <w:p w14:paraId="42B25E10" w14:textId="03D28B20" w:rsidR="00EE2214" w:rsidRDefault="006F713F" w:rsidP="00247165">
          <w:pPr>
            <w:pStyle w:val="Sumrio3"/>
            <w:ind w:left="540" w:hanging="540"/>
            <w:rPr>
              <w:rFonts w:eastAsiaTheme="minorEastAsia" w:cstheme="minorBidi"/>
              <w:noProof/>
              <w:color w:val="auto"/>
              <w:sz w:val="22"/>
              <w:szCs w:val="22"/>
              <w:lang w:eastAsia="pt-BR"/>
            </w:rPr>
          </w:pPr>
          <w:hyperlink w:anchor="_Toc161319436" w:history="1">
            <w:r w:rsidR="00EE2214" w:rsidRPr="00A9707E">
              <w:rPr>
                <w:rStyle w:val="Hyperlink"/>
                <w:noProof/>
              </w:rPr>
              <w:t>3.2.4</w:t>
            </w:r>
            <w:r w:rsidR="00EE2214">
              <w:rPr>
                <w:rFonts w:eastAsiaTheme="minorEastAsia" w:cstheme="minorBidi"/>
                <w:noProof/>
                <w:color w:val="auto"/>
                <w:sz w:val="22"/>
                <w:szCs w:val="22"/>
                <w:lang w:eastAsia="pt-BR"/>
              </w:rPr>
              <w:tab/>
            </w:r>
            <w:r w:rsidR="00EE2214" w:rsidRPr="00A9707E">
              <w:rPr>
                <w:rStyle w:val="Hyperlink"/>
                <w:noProof/>
              </w:rPr>
              <w:t>Resultado de Equivalência Patrimonial</w:t>
            </w:r>
            <w:r w:rsidR="00EE2214">
              <w:rPr>
                <w:noProof/>
                <w:webHidden/>
              </w:rPr>
              <w:tab/>
            </w:r>
            <w:r w:rsidR="00EE2214">
              <w:rPr>
                <w:noProof/>
                <w:webHidden/>
              </w:rPr>
              <w:fldChar w:fldCharType="begin"/>
            </w:r>
            <w:r w:rsidR="00EE2214">
              <w:rPr>
                <w:noProof/>
                <w:webHidden/>
              </w:rPr>
              <w:instrText xml:space="preserve"> PAGEREF _Toc161319436 \h </w:instrText>
            </w:r>
            <w:r w:rsidR="00EE2214">
              <w:rPr>
                <w:noProof/>
                <w:webHidden/>
              </w:rPr>
            </w:r>
            <w:r w:rsidR="00EE2214">
              <w:rPr>
                <w:noProof/>
                <w:webHidden/>
              </w:rPr>
              <w:fldChar w:fldCharType="separate"/>
            </w:r>
            <w:r w:rsidR="00247165">
              <w:rPr>
                <w:noProof/>
                <w:webHidden/>
              </w:rPr>
              <w:t>14</w:t>
            </w:r>
            <w:r w:rsidR="00EE2214">
              <w:rPr>
                <w:noProof/>
                <w:webHidden/>
              </w:rPr>
              <w:fldChar w:fldCharType="end"/>
            </w:r>
          </w:hyperlink>
        </w:p>
        <w:p w14:paraId="4FCF5E62" w14:textId="2E95FB3A" w:rsidR="00EE2214" w:rsidRDefault="006F713F" w:rsidP="00247165">
          <w:pPr>
            <w:pStyle w:val="Sumrio3"/>
            <w:ind w:left="540" w:hanging="540"/>
            <w:rPr>
              <w:rFonts w:eastAsiaTheme="minorEastAsia" w:cstheme="minorBidi"/>
              <w:noProof/>
              <w:color w:val="auto"/>
              <w:sz w:val="22"/>
              <w:szCs w:val="22"/>
              <w:lang w:eastAsia="pt-BR"/>
            </w:rPr>
          </w:pPr>
          <w:hyperlink w:anchor="_Toc161319437" w:history="1">
            <w:r w:rsidR="00EE2214" w:rsidRPr="00A9707E">
              <w:rPr>
                <w:rStyle w:val="Hyperlink"/>
                <w:noProof/>
              </w:rPr>
              <w:t>3.2.5</w:t>
            </w:r>
            <w:r w:rsidR="00EE2214">
              <w:rPr>
                <w:rFonts w:eastAsiaTheme="minorEastAsia" w:cstheme="minorBidi"/>
                <w:noProof/>
                <w:color w:val="auto"/>
                <w:sz w:val="22"/>
                <w:szCs w:val="22"/>
                <w:lang w:eastAsia="pt-BR"/>
              </w:rPr>
              <w:tab/>
            </w:r>
            <w:r w:rsidR="00EE2214" w:rsidRPr="00A9707E">
              <w:rPr>
                <w:rStyle w:val="Hyperlink"/>
                <w:noProof/>
              </w:rPr>
              <w:t>Outras Receitas / Despesas Operacionais</w:t>
            </w:r>
            <w:r w:rsidR="00EE2214">
              <w:rPr>
                <w:noProof/>
                <w:webHidden/>
              </w:rPr>
              <w:tab/>
            </w:r>
            <w:r w:rsidR="00EE2214">
              <w:rPr>
                <w:noProof/>
                <w:webHidden/>
              </w:rPr>
              <w:fldChar w:fldCharType="begin"/>
            </w:r>
            <w:r w:rsidR="00EE2214">
              <w:rPr>
                <w:noProof/>
                <w:webHidden/>
              </w:rPr>
              <w:instrText xml:space="preserve"> PAGEREF _Toc161319437 \h </w:instrText>
            </w:r>
            <w:r w:rsidR="00EE2214">
              <w:rPr>
                <w:noProof/>
                <w:webHidden/>
              </w:rPr>
            </w:r>
            <w:r w:rsidR="00EE2214">
              <w:rPr>
                <w:noProof/>
                <w:webHidden/>
              </w:rPr>
              <w:fldChar w:fldCharType="separate"/>
            </w:r>
            <w:r w:rsidR="00247165">
              <w:rPr>
                <w:noProof/>
                <w:webHidden/>
              </w:rPr>
              <w:t>14</w:t>
            </w:r>
            <w:r w:rsidR="00EE2214">
              <w:rPr>
                <w:noProof/>
                <w:webHidden/>
              </w:rPr>
              <w:fldChar w:fldCharType="end"/>
            </w:r>
          </w:hyperlink>
        </w:p>
        <w:p w14:paraId="6164B5E2" w14:textId="33516234" w:rsidR="00EE2214" w:rsidRDefault="006F713F" w:rsidP="00247165">
          <w:pPr>
            <w:pStyle w:val="Sumrio3"/>
            <w:ind w:left="540" w:hanging="540"/>
            <w:rPr>
              <w:rFonts w:eastAsiaTheme="minorEastAsia" w:cstheme="minorBidi"/>
              <w:noProof/>
              <w:color w:val="auto"/>
              <w:sz w:val="22"/>
              <w:szCs w:val="22"/>
              <w:lang w:eastAsia="pt-BR"/>
            </w:rPr>
          </w:pPr>
          <w:hyperlink w:anchor="_Toc161319438" w:history="1">
            <w:r w:rsidR="00EE2214" w:rsidRPr="00A9707E">
              <w:rPr>
                <w:rStyle w:val="Hyperlink"/>
                <w:noProof/>
              </w:rPr>
              <w:t>3.2.6</w:t>
            </w:r>
            <w:r w:rsidR="00EE2214">
              <w:rPr>
                <w:rFonts w:eastAsiaTheme="minorEastAsia" w:cstheme="minorBidi"/>
                <w:noProof/>
                <w:color w:val="auto"/>
                <w:sz w:val="22"/>
                <w:szCs w:val="22"/>
                <w:lang w:eastAsia="pt-BR"/>
              </w:rPr>
              <w:tab/>
            </w:r>
            <w:r w:rsidR="00EE2214" w:rsidRPr="00A9707E">
              <w:rPr>
                <w:rStyle w:val="Hyperlink"/>
                <w:noProof/>
              </w:rPr>
              <w:t>Resultado Financeiro</w:t>
            </w:r>
            <w:r w:rsidR="00EE2214">
              <w:rPr>
                <w:noProof/>
                <w:webHidden/>
              </w:rPr>
              <w:tab/>
            </w:r>
            <w:r w:rsidR="00EE2214">
              <w:rPr>
                <w:noProof/>
                <w:webHidden/>
              </w:rPr>
              <w:fldChar w:fldCharType="begin"/>
            </w:r>
            <w:r w:rsidR="00EE2214">
              <w:rPr>
                <w:noProof/>
                <w:webHidden/>
              </w:rPr>
              <w:instrText xml:space="preserve"> PAGEREF _Toc161319438 \h </w:instrText>
            </w:r>
            <w:r w:rsidR="00EE2214">
              <w:rPr>
                <w:noProof/>
                <w:webHidden/>
              </w:rPr>
            </w:r>
            <w:r w:rsidR="00EE2214">
              <w:rPr>
                <w:noProof/>
                <w:webHidden/>
              </w:rPr>
              <w:fldChar w:fldCharType="separate"/>
            </w:r>
            <w:r w:rsidR="00247165">
              <w:rPr>
                <w:noProof/>
                <w:webHidden/>
              </w:rPr>
              <w:t>16</w:t>
            </w:r>
            <w:r w:rsidR="00EE2214">
              <w:rPr>
                <w:noProof/>
                <w:webHidden/>
              </w:rPr>
              <w:fldChar w:fldCharType="end"/>
            </w:r>
          </w:hyperlink>
        </w:p>
        <w:p w14:paraId="6FA28899" w14:textId="7DEA7880" w:rsidR="00EE2214" w:rsidRDefault="006F713F" w:rsidP="00247165">
          <w:pPr>
            <w:pStyle w:val="Sumrio3"/>
            <w:ind w:left="540" w:hanging="540"/>
            <w:rPr>
              <w:rFonts w:eastAsiaTheme="minorEastAsia" w:cstheme="minorBidi"/>
              <w:noProof/>
              <w:color w:val="auto"/>
              <w:sz w:val="22"/>
              <w:szCs w:val="22"/>
              <w:lang w:eastAsia="pt-BR"/>
            </w:rPr>
          </w:pPr>
          <w:hyperlink w:anchor="_Toc161319439" w:history="1">
            <w:r w:rsidR="00EE2214" w:rsidRPr="00A9707E">
              <w:rPr>
                <w:rStyle w:val="Hyperlink"/>
                <w:noProof/>
              </w:rPr>
              <w:t>3.2.7</w:t>
            </w:r>
            <w:r w:rsidR="00EE2214">
              <w:rPr>
                <w:rFonts w:eastAsiaTheme="minorEastAsia" w:cstheme="minorBidi"/>
                <w:noProof/>
                <w:color w:val="auto"/>
                <w:sz w:val="22"/>
                <w:szCs w:val="22"/>
                <w:lang w:eastAsia="pt-BR"/>
              </w:rPr>
              <w:tab/>
            </w:r>
            <w:r w:rsidR="00EE2214" w:rsidRPr="00A9707E">
              <w:rPr>
                <w:rStyle w:val="Hyperlink"/>
                <w:noProof/>
              </w:rPr>
              <w:t>Prejuízo Líquido do Exercício Ajustado</w:t>
            </w:r>
            <w:r w:rsidR="00EE2214">
              <w:rPr>
                <w:noProof/>
                <w:webHidden/>
              </w:rPr>
              <w:tab/>
            </w:r>
            <w:r w:rsidR="00EE2214">
              <w:rPr>
                <w:noProof/>
                <w:webHidden/>
              </w:rPr>
              <w:fldChar w:fldCharType="begin"/>
            </w:r>
            <w:r w:rsidR="00EE2214">
              <w:rPr>
                <w:noProof/>
                <w:webHidden/>
              </w:rPr>
              <w:instrText xml:space="preserve"> PAGEREF _Toc161319439 \h </w:instrText>
            </w:r>
            <w:r w:rsidR="00EE2214">
              <w:rPr>
                <w:noProof/>
                <w:webHidden/>
              </w:rPr>
            </w:r>
            <w:r w:rsidR="00EE2214">
              <w:rPr>
                <w:noProof/>
                <w:webHidden/>
              </w:rPr>
              <w:fldChar w:fldCharType="separate"/>
            </w:r>
            <w:r w:rsidR="00247165">
              <w:rPr>
                <w:noProof/>
                <w:webHidden/>
              </w:rPr>
              <w:t>17</w:t>
            </w:r>
            <w:r w:rsidR="00EE2214">
              <w:rPr>
                <w:noProof/>
                <w:webHidden/>
              </w:rPr>
              <w:fldChar w:fldCharType="end"/>
            </w:r>
          </w:hyperlink>
        </w:p>
        <w:p w14:paraId="495F4C31" w14:textId="3E456327" w:rsidR="00EE2214" w:rsidRDefault="006F713F" w:rsidP="00247165">
          <w:pPr>
            <w:pStyle w:val="Sumrio3"/>
            <w:ind w:left="540" w:hanging="540"/>
            <w:rPr>
              <w:rFonts w:eastAsiaTheme="minorEastAsia" w:cstheme="minorBidi"/>
              <w:noProof/>
              <w:color w:val="auto"/>
              <w:sz w:val="22"/>
              <w:szCs w:val="22"/>
              <w:lang w:eastAsia="pt-BR"/>
            </w:rPr>
          </w:pPr>
          <w:hyperlink w:anchor="_Toc161319440" w:history="1">
            <w:r w:rsidR="00EE2214" w:rsidRPr="00A9707E">
              <w:rPr>
                <w:rStyle w:val="Hyperlink"/>
                <w:noProof/>
              </w:rPr>
              <w:t>3.2.8</w:t>
            </w:r>
            <w:r w:rsidR="00EE2214">
              <w:rPr>
                <w:rFonts w:eastAsiaTheme="minorEastAsia" w:cstheme="minorBidi"/>
                <w:noProof/>
                <w:color w:val="auto"/>
                <w:sz w:val="22"/>
                <w:szCs w:val="22"/>
                <w:lang w:eastAsia="pt-BR"/>
              </w:rPr>
              <w:tab/>
            </w:r>
            <w:r w:rsidR="00EE2214" w:rsidRPr="00A9707E">
              <w:rPr>
                <w:rStyle w:val="Hyperlink"/>
                <w:noProof/>
              </w:rPr>
              <w:t>EBITDA/LAJIDA</w:t>
            </w:r>
            <w:r w:rsidR="00EE2214">
              <w:rPr>
                <w:noProof/>
                <w:webHidden/>
              </w:rPr>
              <w:tab/>
            </w:r>
            <w:r w:rsidR="00EE2214">
              <w:rPr>
                <w:noProof/>
                <w:webHidden/>
              </w:rPr>
              <w:fldChar w:fldCharType="begin"/>
            </w:r>
            <w:r w:rsidR="00EE2214">
              <w:rPr>
                <w:noProof/>
                <w:webHidden/>
              </w:rPr>
              <w:instrText xml:space="preserve"> PAGEREF _Toc161319440 \h </w:instrText>
            </w:r>
            <w:r w:rsidR="00EE2214">
              <w:rPr>
                <w:noProof/>
                <w:webHidden/>
              </w:rPr>
            </w:r>
            <w:r w:rsidR="00EE2214">
              <w:rPr>
                <w:noProof/>
                <w:webHidden/>
              </w:rPr>
              <w:fldChar w:fldCharType="separate"/>
            </w:r>
            <w:r w:rsidR="00247165">
              <w:rPr>
                <w:noProof/>
                <w:webHidden/>
              </w:rPr>
              <w:t>17</w:t>
            </w:r>
            <w:r w:rsidR="00EE2214">
              <w:rPr>
                <w:noProof/>
                <w:webHidden/>
              </w:rPr>
              <w:fldChar w:fldCharType="end"/>
            </w:r>
          </w:hyperlink>
        </w:p>
        <w:p w14:paraId="67FAE251" w14:textId="324E697A"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41" w:history="1">
            <w:r w:rsidR="00EE2214" w:rsidRPr="00A9707E">
              <w:rPr>
                <w:rStyle w:val="Hyperlink"/>
                <w:noProof/>
              </w:rPr>
              <w:t>3.3</w:t>
            </w:r>
            <w:r w:rsidR="00EE2214">
              <w:rPr>
                <w:rFonts w:eastAsiaTheme="minorEastAsia" w:cstheme="minorBidi"/>
                <w:noProof/>
                <w:color w:val="auto"/>
                <w:sz w:val="22"/>
                <w:szCs w:val="22"/>
                <w:lang w:eastAsia="pt-BR"/>
              </w:rPr>
              <w:tab/>
            </w:r>
            <w:r w:rsidR="00EE2214" w:rsidRPr="00A9707E">
              <w:rPr>
                <w:rStyle w:val="Hyperlink"/>
                <w:noProof/>
              </w:rPr>
              <w:t>Execução Orçamentária</w:t>
            </w:r>
            <w:r w:rsidR="00EE2214">
              <w:rPr>
                <w:noProof/>
                <w:webHidden/>
              </w:rPr>
              <w:tab/>
            </w:r>
            <w:r w:rsidR="00EE2214">
              <w:rPr>
                <w:noProof/>
                <w:webHidden/>
              </w:rPr>
              <w:fldChar w:fldCharType="begin"/>
            </w:r>
            <w:r w:rsidR="00EE2214">
              <w:rPr>
                <w:noProof/>
                <w:webHidden/>
              </w:rPr>
              <w:instrText xml:space="preserve"> PAGEREF _Toc161319441 \h </w:instrText>
            </w:r>
            <w:r w:rsidR="00EE2214">
              <w:rPr>
                <w:noProof/>
                <w:webHidden/>
              </w:rPr>
            </w:r>
            <w:r w:rsidR="00EE2214">
              <w:rPr>
                <w:noProof/>
                <w:webHidden/>
              </w:rPr>
              <w:fldChar w:fldCharType="separate"/>
            </w:r>
            <w:r w:rsidR="00247165">
              <w:rPr>
                <w:noProof/>
                <w:webHidden/>
              </w:rPr>
              <w:t>18</w:t>
            </w:r>
            <w:r w:rsidR="00EE2214">
              <w:rPr>
                <w:noProof/>
                <w:webHidden/>
              </w:rPr>
              <w:fldChar w:fldCharType="end"/>
            </w:r>
          </w:hyperlink>
        </w:p>
        <w:p w14:paraId="1EC93A8F" w14:textId="4EBA5F1C" w:rsidR="00EE2214" w:rsidRDefault="006F713F" w:rsidP="00247165">
          <w:pPr>
            <w:pStyle w:val="Sumrio3"/>
            <w:ind w:left="540" w:hanging="540"/>
            <w:rPr>
              <w:rFonts w:eastAsiaTheme="minorEastAsia" w:cstheme="minorBidi"/>
              <w:noProof/>
              <w:color w:val="auto"/>
              <w:sz w:val="22"/>
              <w:szCs w:val="22"/>
              <w:lang w:eastAsia="pt-BR"/>
            </w:rPr>
          </w:pPr>
          <w:hyperlink w:anchor="_Toc161319442" w:history="1">
            <w:r w:rsidR="00EE2214" w:rsidRPr="00A9707E">
              <w:rPr>
                <w:rStyle w:val="Hyperlink"/>
                <w:noProof/>
              </w:rPr>
              <w:t>3.3.1</w:t>
            </w:r>
            <w:r w:rsidR="00EE2214">
              <w:rPr>
                <w:rFonts w:eastAsiaTheme="minorEastAsia" w:cstheme="minorBidi"/>
                <w:noProof/>
                <w:color w:val="auto"/>
                <w:sz w:val="22"/>
                <w:szCs w:val="22"/>
                <w:lang w:eastAsia="pt-BR"/>
              </w:rPr>
              <w:tab/>
            </w:r>
            <w:r w:rsidR="00EE2214" w:rsidRPr="00A9707E">
              <w:rPr>
                <w:rStyle w:val="Hyperlink"/>
                <w:noProof/>
              </w:rPr>
              <w:t>Execução da Receita Pública por Categoria Econômica</w:t>
            </w:r>
            <w:r w:rsidR="00EE2214">
              <w:rPr>
                <w:noProof/>
                <w:webHidden/>
              </w:rPr>
              <w:tab/>
            </w:r>
            <w:r w:rsidR="00EE2214">
              <w:rPr>
                <w:noProof/>
                <w:webHidden/>
              </w:rPr>
              <w:fldChar w:fldCharType="begin"/>
            </w:r>
            <w:r w:rsidR="00EE2214">
              <w:rPr>
                <w:noProof/>
                <w:webHidden/>
              </w:rPr>
              <w:instrText xml:space="preserve"> PAGEREF _Toc161319442 \h </w:instrText>
            </w:r>
            <w:r w:rsidR="00EE2214">
              <w:rPr>
                <w:noProof/>
                <w:webHidden/>
              </w:rPr>
            </w:r>
            <w:r w:rsidR="00EE2214">
              <w:rPr>
                <w:noProof/>
                <w:webHidden/>
              </w:rPr>
              <w:fldChar w:fldCharType="separate"/>
            </w:r>
            <w:r w:rsidR="00247165">
              <w:rPr>
                <w:noProof/>
                <w:webHidden/>
              </w:rPr>
              <w:t>18</w:t>
            </w:r>
            <w:r w:rsidR="00EE2214">
              <w:rPr>
                <w:noProof/>
                <w:webHidden/>
              </w:rPr>
              <w:fldChar w:fldCharType="end"/>
            </w:r>
          </w:hyperlink>
        </w:p>
        <w:p w14:paraId="28D84077" w14:textId="41309B41" w:rsidR="00EE2214" w:rsidRDefault="006F713F" w:rsidP="00247165">
          <w:pPr>
            <w:pStyle w:val="Sumrio3"/>
            <w:ind w:left="540" w:hanging="540"/>
            <w:rPr>
              <w:rFonts w:eastAsiaTheme="minorEastAsia" w:cstheme="minorBidi"/>
              <w:noProof/>
              <w:color w:val="auto"/>
              <w:sz w:val="22"/>
              <w:szCs w:val="22"/>
              <w:lang w:eastAsia="pt-BR"/>
            </w:rPr>
          </w:pPr>
          <w:hyperlink w:anchor="_Toc161319443" w:history="1">
            <w:r w:rsidR="00EE2214" w:rsidRPr="00A9707E">
              <w:rPr>
                <w:rStyle w:val="Hyperlink"/>
                <w:noProof/>
              </w:rPr>
              <w:t>3.3.2</w:t>
            </w:r>
            <w:r w:rsidR="00EE2214">
              <w:rPr>
                <w:rFonts w:eastAsiaTheme="minorEastAsia" w:cstheme="minorBidi"/>
                <w:noProof/>
                <w:color w:val="auto"/>
                <w:sz w:val="22"/>
                <w:szCs w:val="22"/>
                <w:lang w:eastAsia="pt-BR"/>
              </w:rPr>
              <w:tab/>
            </w:r>
            <w:r w:rsidR="00EE2214" w:rsidRPr="00A9707E">
              <w:rPr>
                <w:rStyle w:val="Hyperlink"/>
                <w:noProof/>
              </w:rPr>
              <w:t>Execução da Despesa Pública por Categoria Econômica</w:t>
            </w:r>
            <w:r w:rsidR="00EE2214">
              <w:rPr>
                <w:noProof/>
                <w:webHidden/>
              </w:rPr>
              <w:tab/>
            </w:r>
            <w:r w:rsidR="00EE2214">
              <w:rPr>
                <w:noProof/>
                <w:webHidden/>
              </w:rPr>
              <w:fldChar w:fldCharType="begin"/>
            </w:r>
            <w:r w:rsidR="00EE2214">
              <w:rPr>
                <w:noProof/>
                <w:webHidden/>
              </w:rPr>
              <w:instrText xml:space="preserve"> PAGEREF _Toc161319443 \h </w:instrText>
            </w:r>
            <w:r w:rsidR="00EE2214">
              <w:rPr>
                <w:noProof/>
                <w:webHidden/>
              </w:rPr>
            </w:r>
            <w:r w:rsidR="00EE2214">
              <w:rPr>
                <w:noProof/>
                <w:webHidden/>
              </w:rPr>
              <w:fldChar w:fldCharType="separate"/>
            </w:r>
            <w:r w:rsidR="00247165">
              <w:rPr>
                <w:noProof/>
                <w:webHidden/>
              </w:rPr>
              <w:t>19</w:t>
            </w:r>
            <w:r w:rsidR="00EE2214">
              <w:rPr>
                <w:noProof/>
                <w:webHidden/>
              </w:rPr>
              <w:fldChar w:fldCharType="end"/>
            </w:r>
          </w:hyperlink>
        </w:p>
        <w:p w14:paraId="0B2DD7C5" w14:textId="02B1E930" w:rsidR="00EE2214" w:rsidRDefault="006F713F" w:rsidP="00247165">
          <w:pPr>
            <w:pStyle w:val="Sumrio3"/>
            <w:ind w:left="540" w:hanging="540"/>
            <w:rPr>
              <w:rFonts w:eastAsiaTheme="minorEastAsia" w:cstheme="minorBidi"/>
              <w:noProof/>
              <w:color w:val="auto"/>
              <w:sz w:val="22"/>
              <w:szCs w:val="22"/>
              <w:lang w:eastAsia="pt-BR"/>
            </w:rPr>
          </w:pPr>
          <w:hyperlink w:anchor="_Toc161319444" w:history="1">
            <w:r w:rsidR="00EE2214" w:rsidRPr="00A9707E">
              <w:rPr>
                <w:rStyle w:val="Hyperlink"/>
                <w:noProof/>
              </w:rPr>
              <w:t>3.3.3</w:t>
            </w:r>
            <w:r w:rsidR="00EE2214">
              <w:rPr>
                <w:rFonts w:eastAsiaTheme="minorEastAsia" w:cstheme="minorBidi"/>
                <w:noProof/>
                <w:color w:val="auto"/>
                <w:sz w:val="22"/>
                <w:szCs w:val="22"/>
                <w:lang w:eastAsia="pt-BR"/>
              </w:rPr>
              <w:tab/>
            </w:r>
            <w:r w:rsidR="00EE2214" w:rsidRPr="00A9707E">
              <w:rPr>
                <w:rStyle w:val="Hyperlink"/>
                <w:noProof/>
              </w:rPr>
              <w:t>Execução dos Restos a Pagar (processados e não processados)</w:t>
            </w:r>
            <w:r w:rsidR="00EE2214">
              <w:rPr>
                <w:noProof/>
                <w:webHidden/>
              </w:rPr>
              <w:tab/>
            </w:r>
            <w:r w:rsidR="00EE2214">
              <w:rPr>
                <w:noProof/>
                <w:webHidden/>
              </w:rPr>
              <w:fldChar w:fldCharType="begin"/>
            </w:r>
            <w:r w:rsidR="00EE2214">
              <w:rPr>
                <w:noProof/>
                <w:webHidden/>
              </w:rPr>
              <w:instrText xml:space="preserve"> PAGEREF _Toc161319444 \h </w:instrText>
            </w:r>
            <w:r w:rsidR="00EE2214">
              <w:rPr>
                <w:noProof/>
                <w:webHidden/>
              </w:rPr>
            </w:r>
            <w:r w:rsidR="00EE2214">
              <w:rPr>
                <w:noProof/>
                <w:webHidden/>
              </w:rPr>
              <w:fldChar w:fldCharType="separate"/>
            </w:r>
            <w:r w:rsidR="00247165">
              <w:rPr>
                <w:noProof/>
                <w:webHidden/>
              </w:rPr>
              <w:t>21</w:t>
            </w:r>
            <w:r w:rsidR="00EE2214">
              <w:rPr>
                <w:noProof/>
                <w:webHidden/>
              </w:rPr>
              <w:fldChar w:fldCharType="end"/>
            </w:r>
          </w:hyperlink>
        </w:p>
        <w:p w14:paraId="78BB5F6E" w14:textId="339A8BCF" w:rsidR="00EE2214" w:rsidRDefault="006F713F" w:rsidP="00247165">
          <w:pPr>
            <w:pStyle w:val="Sumrio3"/>
            <w:ind w:left="540" w:hanging="540"/>
            <w:rPr>
              <w:rFonts w:eastAsiaTheme="minorEastAsia" w:cstheme="minorBidi"/>
              <w:noProof/>
              <w:color w:val="auto"/>
              <w:sz w:val="22"/>
              <w:szCs w:val="22"/>
              <w:lang w:eastAsia="pt-BR"/>
            </w:rPr>
          </w:pPr>
          <w:hyperlink w:anchor="_Toc161319445" w:history="1">
            <w:r w:rsidR="00EE2214" w:rsidRPr="00A9707E">
              <w:rPr>
                <w:rStyle w:val="Hyperlink"/>
                <w:noProof/>
              </w:rPr>
              <w:t>3.3.4</w:t>
            </w:r>
            <w:r w:rsidR="00EE2214">
              <w:rPr>
                <w:rFonts w:eastAsiaTheme="minorEastAsia" w:cstheme="minorBidi"/>
                <w:noProof/>
                <w:color w:val="auto"/>
                <w:sz w:val="22"/>
                <w:szCs w:val="22"/>
                <w:lang w:eastAsia="pt-BR"/>
              </w:rPr>
              <w:tab/>
            </w:r>
            <w:r w:rsidR="00EE2214" w:rsidRPr="00A9707E">
              <w:rPr>
                <w:rStyle w:val="Hyperlink"/>
                <w:noProof/>
              </w:rPr>
              <w:t>Execução de Pagamentos</w:t>
            </w:r>
            <w:r w:rsidR="00EE2214">
              <w:rPr>
                <w:noProof/>
                <w:webHidden/>
              </w:rPr>
              <w:tab/>
            </w:r>
            <w:r w:rsidR="00EE2214">
              <w:rPr>
                <w:noProof/>
                <w:webHidden/>
              </w:rPr>
              <w:fldChar w:fldCharType="begin"/>
            </w:r>
            <w:r w:rsidR="00EE2214">
              <w:rPr>
                <w:noProof/>
                <w:webHidden/>
              </w:rPr>
              <w:instrText xml:space="preserve"> PAGEREF _Toc161319445 \h </w:instrText>
            </w:r>
            <w:r w:rsidR="00EE2214">
              <w:rPr>
                <w:noProof/>
                <w:webHidden/>
              </w:rPr>
            </w:r>
            <w:r w:rsidR="00EE2214">
              <w:rPr>
                <w:noProof/>
                <w:webHidden/>
              </w:rPr>
              <w:fldChar w:fldCharType="separate"/>
            </w:r>
            <w:r w:rsidR="00247165">
              <w:rPr>
                <w:noProof/>
                <w:webHidden/>
              </w:rPr>
              <w:t>23</w:t>
            </w:r>
            <w:r w:rsidR="00EE2214">
              <w:rPr>
                <w:noProof/>
                <w:webHidden/>
              </w:rPr>
              <w:fldChar w:fldCharType="end"/>
            </w:r>
          </w:hyperlink>
        </w:p>
        <w:p w14:paraId="4748E803" w14:textId="4D090E95"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46" w:history="1">
            <w:r w:rsidR="00EE2214" w:rsidRPr="00A9707E">
              <w:rPr>
                <w:rStyle w:val="Hyperlink"/>
                <w:noProof/>
              </w:rPr>
              <w:t>3.4</w:t>
            </w:r>
            <w:r w:rsidR="00EE2214">
              <w:rPr>
                <w:rFonts w:eastAsiaTheme="minorEastAsia" w:cstheme="minorBidi"/>
                <w:noProof/>
                <w:color w:val="auto"/>
                <w:sz w:val="22"/>
                <w:szCs w:val="22"/>
                <w:lang w:eastAsia="pt-BR"/>
              </w:rPr>
              <w:tab/>
            </w:r>
            <w:r w:rsidR="00EE2214" w:rsidRPr="00A9707E">
              <w:rPr>
                <w:rStyle w:val="Hyperlink"/>
                <w:noProof/>
              </w:rPr>
              <w:t>Investimentos em sociedades coligadas e/ou controladas</w:t>
            </w:r>
            <w:r w:rsidR="00EE2214">
              <w:rPr>
                <w:noProof/>
                <w:webHidden/>
              </w:rPr>
              <w:tab/>
            </w:r>
            <w:r w:rsidR="00EE2214">
              <w:rPr>
                <w:noProof/>
                <w:webHidden/>
              </w:rPr>
              <w:fldChar w:fldCharType="begin"/>
            </w:r>
            <w:r w:rsidR="00EE2214">
              <w:rPr>
                <w:noProof/>
                <w:webHidden/>
              </w:rPr>
              <w:instrText xml:space="preserve"> PAGEREF _Toc161319446 \h </w:instrText>
            </w:r>
            <w:r w:rsidR="00EE2214">
              <w:rPr>
                <w:noProof/>
                <w:webHidden/>
              </w:rPr>
            </w:r>
            <w:r w:rsidR="00EE2214">
              <w:rPr>
                <w:noProof/>
                <w:webHidden/>
              </w:rPr>
              <w:fldChar w:fldCharType="separate"/>
            </w:r>
            <w:r w:rsidR="00247165">
              <w:rPr>
                <w:noProof/>
                <w:webHidden/>
              </w:rPr>
              <w:t>23</w:t>
            </w:r>
            <w:r w:rsidR="00EE2214">
              <w:rPr>
                <w:noProof/>
                <w:webHidden/>
              </w:rPr>
              <w:fldChar w:fldCharType="end"/>
            </w:r>
          </w:hyperlink>
        </w:p>
        <w:p w14:paraId="52F9880A" w14:textId="4EF67D4C" w:rsidR="00EE2214" w:rsidRDefault="006F713F" w:rsidP="00247165">
          <w:pPr>
            <w:pStyle w:val="Sumrio1"/>
            <w:spacing w:after="0"/>
            <w:ind w:left="540" w:hanging="540"/>
            <w:rPr>
              <w:rFonts w:eastAsiaTheme="minorEastAsia" w:cstheme="minorBidi"/>
              <w:color w:val="auto"/>
              <w:sz w:val="22"/>
              <w:szCs w:val="22"/>
              <w:lang w:eastAsia="pt-BR"/>
            </w:rPr>
          </w:pPr>
          <w:hyperlink w:anchor="_Toc161319447" w:history="1">
            <w:r w:rsidR="00EE2214" w:rsidRPr="00A9707E">
              <w:rPr>
                <w:rStyle w:val="Hyperlink"/>
              </w:rPr>
              <w:t>4</w:t>
            </w:r>
            <w:r w:rsidR="00EE2214">
              <w:rPr>
                <w:rFonts w:eastAsiaTheme="minorEastAsia" w:cstheme="minorBidi"/>
                <w:color w:val="auto"/>
                <w:sz w:val="22"/>
                <w:szCs w:val="22"/>
                <w:lang w:eastAsia="pt-BR"/>
              </w:rPr>
              <w:tab/>
            </w:r>
            <w:r w:rsidR="00EE2214" w:rsidRPr="00A9707E">
              <w:rPr>
                <w:rStyle w:val="Hyperlink"/>
              </w:rPr>
              <w:t>Interesse coletivo e execução de Políticas Públicas</w:t>
            </w:r>
            <w:r w:rsidR="00EE2214">
              <w:rPr>
                <w:webHidden/>
              </w:rPr>
              <w:tab/>
            </w:r>
            <w:r w:rsidR="00EE2214">
              <w:rPr>
                <w:webHidden/>
              </w:rPr>
              <w:fldChar w:fldCharType="begin"/>
            </w:r>
            <w:r w:rsidR="00EE2214">
              <w:rPr>
                <w:webHidden/>
              </w:rPr>
              <w:instrText xml:space="preserve"> PAGEREF _Toc161319447 \h </w:instrText>
            </w:r>
            <w:r w:rsidR="00EE2214">
              <w:rPr>
                <w:webHidden/>
              </w:rPr>
            </w:r>
            <w:r w:rsidR="00EE2214">
              <w:rPr>
                <w:webHidden/>
              </w:rPr>
              <w:fldChar w:fldCharType="separate"/>
            </w:r>
            <w:r w:rsidR="00247165">
              <w:rPr>
                <w:webHidden/>
              </w:rPr>
              <w:t>25</w:t>
            </w:r>
            <w:r w:rsidR="00EE2214">
              <w:rPr>
                <w:webHidden/>
              </w:rPr>
              <w:fldChar w:fldCharType="end"/>
            </w:r>
          </w:hyperlink>
        </w:p>
        <w:p w14:paraId="49E4D660" w14:textId="49B1511A" w:rsidR="00EE2214" w:rsidRDefault="006F713F" w:rsidP="00247165">
          <w:pPr>
            <w:pStyle w:val="Sumrio1"/>
            <w:spacing w:after="0"/>
            <w:ind w:left="540" w:hanging="540"/>
            <w:rPr>
              <w:rFonts w:eastAsiaTheme="minorEastAsia" w:cstheme="minorBidi"/>
              <w:color w:val="auto"/>
              <w:sz w:val="22"/>
              <w:szCs w:val="22"/>
              <w:lang w:eastAsia="pt-BR"/>
            </w:rPr>
          </w:pPr>
          <w:hyperlink w:anchor="_Toc161319448" w:history="1">
            <w:r w:rsidR="00EE2214" w:rsidRPr="00A9707E">
              <w:rPr>
                <w:rStyle w:val="Hyperlink"/>
              </w:rPr>
              <w:t>5</w:t>
            </w:r>
            <w:r w:rsidR="00EE2214">
              <w:rPr>
                <w:rFonts w:eastAsiaTheme="minorEastAsia" w:cstheme="minorBidi"/>
                <w:color w:val="auto"/>
                <w:sz w:val="22"/>
                <w:szCs w:val="22"/>
                <w:lang w:eastAsia="pt-BR"/>
              </w:rPr>
              <w:tab/>
            </w:r>
            <w:r w:rsidR="00EE2214" w:rsidRPr="00A9707E">
              <w:rPr>
                <w:rStyle w:val="Hyperlink"/>
              </w:rPr>
              <w:t>Governança Corporativa, Relações com Investidores e Mercado</w:t>
            </w:r>
            <w:r w:rsidR="00EE2214">
              <w:rPr>
                <w:webHidden/>
              </w:rPr>
              <w:tab/>
            </w:r>
            <w:r w:rsidR="00EE2214">
              <w:rPr>
                <w:webHidden/>
              </w:rPr>
              <w:fldChar w:fldCharType="begin"/>
            </w:r>
            <w:r w:rsidR="00EE2214">
              <w:rPr>
                <w:webHidden/>
              </w:rPr>
              <w:instrText xml:space="preserve"> PAGEREF _Toc161319448 \h </w:instrText>
            </w:r>
            <w:r w:rsidR="00EE2214">
              <w:rPr>
                <w:webHidden/>
              </w:rPr>
            </w:r>
            <w:r w:rsidR="00EE2214">
              <w:rPr>
                <w:webHidden/>
              </w:rPr>
              <w:fldChar w:fldCharType="separate"/>
            </w:r>
            <w:r w:rsidR="00247165">
              <w:rPr>
                <w:webHidden/>
              </w:rPr>
              <w:t>26</w:t>
            </w:r>
            <w:r w:rsidR="00EE2214">
              <w:rPr>
                <w:webHidden/>
              </w:rPr>
              <w:fldChar w:fldCharType="end"/>
            </w:r>
          </w:hyperlink>
        </w:p>
        <w:p w14:paraId="6B010C8B" w14:textId="22D16412"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49" w:history="1">
            <w:r w:rsidR="00EE2214" w:rsidRPr="00A9707E">
              <w:rPr>
                <w:rStyle w:val="Hyperlink"/>
                <w:noProof/>
              </w:rPr>
              <w:t>5.1</w:t>
            </w:r>
            <w:r w:rsidR="00EE2214">
              <w:rPr>
                <w:rFonts w:eastAsiaTheme="minorEastAsia" w:cstheme="minorBidi"/>
                <w:noProof/>
                <w:color w:val="auto"/>
                <w:sz w:val="22"/>
                <w:szCs w:val="22"/>
                <w:lang w:eastAsia="pt-BR"/>
              </w:rPr>
              <w:tab/>
            </w:r>
            <w:r w:rsidR="00EE2214" w:rsidRPr="00A9707E">
              <w:rPr>
                <w:rStyle w:val="Hyperlink"/>
                <w:noProof/>
              </w:rPr>
              <w:t>Integridade, Riscos e Conformidade</w:t>
            </w:r>
            <w:r w:rsidR="00EE2214">
              <w:rPr>
                <w:noProof/>
                <w:webHidden/>
              </w:rPr>
              <w:tab/>
            </w:r>
            <w:r w:rsidR="00EE2214">
              <w:rPr>
                <w:noProof/>
                <w:webHidden/>
              </w:rPr>
              <w:fldChar w:fldCharType="begin"/>
            </w:r>
            <w:r w:rsidR="00EE2214">
              <w:rPr>
                <w:noProof/>
                <w:webHidden/>
              </w:rPr>
              <w:instrText xml:space="preserve"> PAGEREF _Toc161319449 \h </w:instrText>
            </w:r>
            <w:r w:rsidR="00EE2214">
              <w:rPr>
                <w:noProof/>
                <w:webHidden/>
              </w:rPr>
            </w:r>
            <w:r w:rsidR="00EE2214">
              <w:rPr>
                <w:noProof/>
                <w:webHidden/>
              </w:rPr>
              <w:fldChar w:fldCharType="separate"/>
            </w:r>
            <w:r w:rsidR="00247165">
              <w:rPr>
                <w:noProof/>
                <w:webHidden/>
              </w:rPr>
              <w:t>26</w:t>
            </w:r>
            <w:r w:rsidR="00EE2214">
              <w:rPr>
                <w:noProof/>
                <w:webHidden/>
              </w:rPr>
              <w:fldChar w:fldCharType="end"/>
            </w:r>
          </w:hyperlink>
        </w:p>
        <w:p w14:paraId="224B3160" w14:textId="43AE69FC"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50" w:history="1">
            <w:r w:rsidR="00EE2214" w:rsidRPr="00A9707E">
              <w:rPr>
                <w:rStyle w:val="Hyperlink"/>
                <w:rFonts w:eastAsia="Calibri"/>
                <w:noProof/>
              </w:rPr>
              <w:t>5.2</w:t>
            </w:r>
            <w:r w:rsidR="00EE2214">
              <w:rPr>
                <w:rFonts w:eastAsiaTheme="minorEastAsia" w:cstheme="minorBidi"/>
                <w:noProof/>
                <w:color w:val="auto"/>
                <w:sz w:val="22"/>
                <w:szCs w:val="22"/>
                <w:lang w:eastAsia="pt-BR"/>
              </w:rPr>
              <w:tab/>
            </w:r>
            <w:r w:rsidR="00EE2214" w:rsidRPr="00A9707E">
              <w:rPr>
                <w:rStyle w:val="Hyperlink"/>
                <w:rFonts w:eastAsia="Calibri"/>
                <w:noProof/>
              </w:rPr>
              <w:t>Gestão Ambiental, Social e de Governança – ESG</w:t>
            </w:r>
            <w:r w:rsidR="00EE2214">
              <w:rPr>
                <w:noProof/>
                <w:webHidden/>
              </w:rPr>
              <w:tab/>
            </w:r>
            <w:r w:rsidR="00EE2214">
              <w:rPr>
                <w:noProof/>
                <w:webHidden/>
              </w:rPr>
              <w:fldChar w:fldCharType="begin"/>
            </w:r>
            <w:r w:rsidR="00EE2214">
              <w:rPr>
                <w:noProof/>
                <w:webHidden/>
              </w:rPr>
              <w:instrText xml:space="preserve"> PAGEREF _Toc161319450 \h </w:instrText>
            </w:r>
            <w:r w:rsidR="00EE2214">
              <w:rPr>
                <w:noProof/>
                <w:webHidden/>
              </w:rPr>
            </w:r>
            <w:r w:rsidR="00EE2214">
              <w:rPr>
                <w:noProof/>
                <w:webHidden/>
              </w:rPr>
              <w:fldChar w:fldCharType="separate"/>
            </w:r>
            <w:r w:rsidR="00247165">
              <w:rPr>
                <w:noProof/>
                <w:webHidden/>
              </w:rPr>
              <w:t>27</w:t>
            </w:r>
            <w:r w:rsidR="00EE2214">
              <w:rPr>
                <w:noProof/>
                <w:webHidden/>
              </w:rPr>
              <w:fldChar w:fldCharType="end"/>
            </w:r>
          </w:hyperlink>
        </w:p>
        <w:p w14:paraId="39B1F389" w14:textId="3EC65BB0"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51" w:history="1">
            <w:r w:rsidR="00EE2214" w:rsidRPr="00A9707E">
              <w:rPr>
                <w:rStyle w:val="Hyperlink"/>
                <w:noProof/>
              </w:rPr>
              <w:t>5.3</w:t>
            </w:r>
            <w:r w:rsidR="00EE2214">
              <w:rPr>
                <w:rFonts w:eastAsiaTheme="minorEastAsia" w:cstheme="minorBidi"/>
                <w:noProof/>
                <w:color w:val="auto"/>
                <w:sz w:val="22"/>
                <w:szCs w:val="22"/>
                <w:lang w:eastAsia="pt-BR"/>
              </w:rPr>
              <w:tab/>
            </w:r>
            <w:r w:rsidR="00EE2214" w:rsidRPr="00A9707E">
              <w:rPr>
                <w:rStyle w:val="Hyperlink"/>
                <w:noProof/>
              </w:rPr>
              <w:t>Relações com Investidores e Mercado</w:t>
            </w:r>
            <w:r w:rsidR="00EE2214">
              <w:rPr>
                <w:noProof/>
                <w:webHidden/>
              </w:rPr>
              <w:tab/>
            </w:r>
            <w:r w:rsidR="00EE2214">
              <w:rPr>
                <w:noProof/>
                <w:webHidden/>
              </w:rPr>
              <w:fldChar w:fldCharType="begin"/>
            </w:r>
            <w:r w:rsidR="00EE2214">
              <w:rPr>
                <w:noProof/>
                <w:webHidden/>
              </w:rPr>
              <w:instrText xml:space="preserve"> PAGEREF _Toc161319451 \h </w:instrText>
            </w:r>
            <w:r w:rsidR="00EE2214">
              <w:rPr>
                <w:noProof/>
                <w:webHidden/>
              </w:rPr>
            </w:r>
            <w:r w:rsidR="00EE2214">
              <w:rPr>
                <w:noProof/>
                <w:webHidden/>
              </w:rPr>
              <w:fldChar w:fldCharType="separate"/>
            </w:r>
            <w:r w:rsidR="00247165">
              <w:rPr>
                <w:noProof/>
                <w:webHidden/>
              </w:rPr>
              <w:t>28</w:t>
            </w:r>
            <w:r w:rsidR="00EE2214">
              <w:rPr>
                <w:noProof/>
                <w:webHidden/>
              </w:rPr>
              <w:fldChar w:fldCharType="end"/>
            </w:r>
          </w:hyperlink>
        </w:p>
        <w:p w14:paraId="7AD8A96E" w14:textId="6B11C8DC"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52" w:history="1">
            <w:r w:rsidR="00EE2214" w:rsidRPr="00A9707E">
              <w:rPr>
                <w:rStyle w:val="Hyperlink"/>
                <w:noProof/>
              </w:rPr>
              <w:t>5.4</w:t>
            </w:r>
            <w:r w:rsidR="00EE2214">
              <w:rPr>
                <w:rFonts w:eastAsiaTheme="minorEastAsia" w:cstheme="minorBidi"/>
                <w:noProof/>
                <w:color w:val="auto"/>
                <w:sz w:val="22"/>
                <w:szCs w:val="22"/>
                <w:lang w:eastAsia="pt-BR"/>
              </w:rPr>
              <w:tab/>
            </w:r>
            <w:r w:rsidR="00EE2214" w:rsidRPr="00A9707E">
              <w:rPr>
                <w:rStyle w:val="Hyperlink"/>
                <w:noProof/>
              </w:rPr>
              <w:t>Gestão Empresarial</w:t>
            </w:r>
            <w:r w:rsidR="00EE2214">
              <w:rPr>
                <w:noProof/>
                <w:webHidden/>
              </w:rPr>
              <w:tab/>
            </w:r>
            <w:r w:rsidR="00EE2214">
              <w:rPr>
                <w:noProof/>
                <w:webHidden/>
              </w:rPr>
              <w:fldChar w:fldCharType="begin"/>
            </w:r>
            <w:r w:rsidR="00EE2214">
              <w:rPr>
                <w:noProof/>
                <w:webHidden/>
              </w:rPr>
              <w:instrText xml:space="preserve"> PAGEREF _Toc161319452 \h </w:instrText>
            </w:r>
            <w:r w:rsidR="00EE2214">
              <w:rPr>
                <w:noProof/>
                <w:webHidden/>
              </w:rPr>
            </w:r>
            <w:r w:rsidR="00EE2214">
              <w:rPr>
                <w:noProof/>
                <w:webHidden/>
              </w:rPr>
              <w:fldChar w:fldCharType="separate"/>
            </w:r>
            <w:r w:rsidR="00247165">
              <w:rPr>
                <w:noProof/>
                <w:webHidden/>
              </w:rPr>
              <w:t>29</w:t>
            </w:r>
            <w:r w:rsidR="00EE2214">
              <w:rPr>
                <w:noProof/>
                <w:webHidden/>
              </w:rPr>
              <w:fldChar w:fldCharType="end"/>
            </w:r>
          </w:hyperlink>
        </w:p>
        <w:p w14:paraId="64E8D8EB" w14:textId="33CEA46E" w:rsidR="00EE2214" w:rsidRDefault="006F713F" w:rsidP="00247165">
          <w:pPr>
            <w:pStyle w:val="Sumrio3"/>
            <w:ind w:left="540" w:hanging="540"/>
            <w:rPr>
              <w:rFonts w:eastAsiaTheme="minorEastAsia" w:cstheme="minorBidi"/>
              <w:noProof/>
              <w:color w:val="auto"/>
              <w:sz w:val="22"/>
              <w:szCs w:val="22"/>
              <w:lang w:eastAsia="pt-BR"/>
            </w:rPr>
          </w:pPr>
          <w:hyperlink w:anchor="_Toc161319453" w:history="1">
            <w:r w:rsidR="00EE2214" w:rsidRPr="00A9707E">
              <w:rPr>
                <w:rStyle w:val="Hyperlink"/>
                <w:noProof/>
              </w:rPr>
              <w:t>5.4.1</w:t>
            </w:r>
            <w:r w:rsidR="00EE2214">
              <w:rPr>
                <w:rFonts w:eastAsiaTheme="minorEastAsia" w:cstheme="minorBidi"/>
                <w:noProof/>
                <w:color w:val="auto"/>
                <w:sz w:val="22"/>
                <w:szCs w:val="22"/>
                <w:lang w:eastAsia="pt-BR"/>
              </w:rPr>
              <w:tab/>
            </w:r>
            <w:r w:rsidR="00EE2214" w:rsidRPr="00A9707E">
              <w:rPr>
                <w:rStyle w:val="Hyperlink"/>
                <w:noProof/>
              </w:rPr>
              <w:t>Desempenho Estratégico</w:t>
            </w:r>
            <w:r w:rsidR="00EE2214">
              <w:rPr>
                <w:noProof/>
                <w:webHidden/>
              </w:rPr>
              <w:tab/>
            </w:r>
            <w:r w:rsidR="00EE2214">
              <w:rPr>
                <w:noProof/>
                <w:webHidden/>
              </w:rPr>
              <w:fldChar w:fldCharType="begin"/>
            </w:r>
            <w:r w:rsidR="00EE2214">
              <w:rPr>
                <w:noProof/>
                <w:webHidden/>
              </w:rPr>
              <w:instrText xml:space="preserve"> PAGEREF _Toc161319453 \h </w:instrText>
            </w:r>
            <w:r w:rsidR="00EE2214">
              <w:rPr>
                <w:noProof/>
                <w:webHidden/>
              </w:rPr>
            </w:r>
            <w:r w:rsidR="00EE2214">
              <w:rPr>
                <w:noProof/>
                <w:webHidden/>
              </w:rPr>
              <w:fldChar w:fldCharType="separate"/>
            </w:r>
            <w:r w:rsidR="00247165">
              <w:rPr>
                <w:noProof/>
                <w:webHidden/>
              </w:rPr>
              <w:t>29</w:t>
            </w:r>
            <w:r w:rsidR="00EE2214">
              <w:rPr>
                <w:noProof/>
                <w:webHidden/>
              </w:rPr>
              <w:fldChar w:fldCharType="end"/>
            </w:r>
          </w:hyperlink>
        </w:p>
        <w:p w14:paraId="53D6A83B" w14:textId="658828E1" w:rsidR="00EE2214" w:rsidRDefault="006F713F" w:rsidP="00247165">
          <w:pPr>
            <w:pStyle w:val="Sumrio3"/>
            <w:ind w:left="540" w:hanging="540"/>
            <w:rPr>
              <w:rFonts w:eastAsiaTheme="minorEastAsia" w:cstheme="minorBidi"/>
              <w:noProof/>
              <w:color w:val="auto"/>
              <w:sz w:val="22"/>
              <w:szCs w:val="22"/>
              <w:lang w:eastAsia="pt-BR"/>
            </w:rPr>
          </w:pPr>
          <w:hyperlink w:anchor="_Toc161319454" w:history="1">
            <w:r w:rsidR="00EE2214" w:rsidRPr="00A9707E">
              <w:rPr>
                <w:rStyle w:val="Hyperlink"/>
                <w:noProof/>
              </w:rPr>
              <w:t>5.4.2</w:t>
            </w:r>
            <w:r w:rsidR="00EE2214">
              <w:rPr>
                <w:rFonts w:eastAsiaTheme="minorEastAsia" w:cstheme="minorBidi"/>
                <w:noProof/>
                <w:color w:val="auto"/>
                <w:sz w:val="22"/>
                <w:szCs w:val="22"/>
                <w:lang w:eastAsia="pt-BR"/>
              </w:rPr>
              <w:tab/>
            </w:r>
            <w:r w:rsidR="00EE2214" w:rsidRPr="00A9707E">
              <w:rPr>
                <w:rStyle w:val="Hyperlink"/>
                <w:noProof/>
              </w:rPr>
              <w:t>Gestão de Processos</w:t>
            </w:r>
            <w:r w:rsidR="00EE2214">
              <w:rPr>
                <w:noProof/>
                <w:webHidden/>
              </w:rPr>
              <w:tab/>
            </w:r>
            <w:r w:rsidR="00EE2214">
              <w:rPr>
                <w:noProof/>
                <w:webHidden/>
              </w:rPr>
              <w:fldChar w:fldCharType="begin"/>
            </w:r>
            <w:r w:rsidR="00EE2214">
              <w:rPr>
                <w:noProof/>
                <w:webHidden/>
              </w:rPr>
              <w:instrText xml:space="preserve"> PAGEREF _Toc161319454 \h </w:instrText>
            </w:r>
            <w:r w:rsidR="00EE2214">
              <w:rPr>
                <w:noProof/>
                <w:webHidden/>
              </w:rPr>
            </w:r>
            <w:r w:rsidR="00EE2214">
              <w:rPr>
                <w:noProof/>
                <w:webHidden/>
              </w:rPr>
              <w:fldChar w:fldCharType="separate"/>
            </w:r>
            <w:r w:rsidR="00247165">
              <w:rPr>
                <w:noProof/>
                <w:webHidden/>
              </w:rPr>
              <w:t>33</w:t>
            </w:r>
            <w:r w:rsidR="00EE2214">
              <w:rPr>
                <w:noProof/>
                <w:webHidden/>
              </w:rPr>
              <w:fldChar w:fldCharType="end"/>
            </w:r>
          </w:hyperlink>
        </w:p>
        <w:p w14:paraId="6D00B8BF" w14:textId="7C1C9C40" w:rsidR="00EE2214" w:rsidRDefault="006F713F" w:rsidP="00247165">
          <w:pPr>
            <w:pStyle w:val="Sumrio3"/>
            <w:ind w:left="540" w:hanging="540"/>
            <w:rPr>
              <w:rFonts w:eastAsiaTheme="minorEastAsia" w:cstheme="minorBidi"/>
              <w:noProof/>
              <w:color w:val="auto"/>
              <w:sz w:val="22"/>
              <w:szCs w:val="22"/>
              <w:lang w:eastAsia="pt-BR"/>
            </w:rPr>
          </w:pPr>
          <w:hyperlink w:anchor="_Toc161319455" w:history="1">
            <w:r w:rsidR="00EE2214" w:rsidRPr="00A9707E">
              <w:rPr>
                <w:rStyle w:val="Hyperlink"/>
                <w:noProof/>
              </w:rPr>
              <w:t>5.4.3</w:t>
            </w:r>
            <w:r w:rsidR="00EE2214">
              <w:rPr>
                <w:rFonts w:eastAsiaTheme="minorEastAsia" w:cstheme="minorBidi"/>
                <w:noProof/>
                <w:color w:val="auto"/>
                <w:sz w:val="22"/>
                <w:szCs w:val="22"/>
                <w:lang w:eastAsia="pt-BR"/>
              </w:rPr>
              <w:tab/>
            </w:r>
            <w:r w:rsidR="00EE2214" w:rsidRPr="00A9707E">
              <w:rPr>
                <w:rStyle w:val="Hyperlink"/>
                <w:noProof/>
              </w:rPr>
              <w:t>Gestão de Projetos</w:t>
            </w:r>
            <w:r w:rsidR="00EE2214">
              <w:rPr>
                <w:noProof/>
                <w:webHidden/>
              </w:rPr>
              <w:tab/>
            </w:r>
            <w:r w:rsidR="00EE2214">
              <w:rPr>
                <w:noProof/>
                <w:webHidden/>
              </w:rPr>
              <w:fldChar w:fldCharType="begin"/>
            </w:r>
            <w:r w:rsidR="00EE2214">
              <w:rPr>
                <w:noProof/>
                <w:webHidden/>
              </w:rPr>
              <w:instrText xml:space="preserve"> PAGEREF _Toc161319455 \h </w:instrText>
            </w:r>
            <w:r w:rsidR="00EE2214">
              <w:rPr>
                <w:noProof/>
                <w:webHidden/>
              </w:rPr>
            </w:r>
            <w:r w:rsidR="00EE2214">
              <w:rPr>
                <w:noProof/>
                <w:webHidden/>
              </w:rPr>
              <w:fldChar w:fldCharType="separate"/>
            </w:r>
            <w:r w:rsidR="00247165">
              <w:rPr>
                <w:noProof/>
                <w:webHidden/>
              </w:rPr>
              <w:t>33</w:t>
            </w:r>
            <w:r w:rsidR="00EE2214">
              <w:rPr>
                <w:noProof/>
                <w:webHidden/>
              </w:rPr>
              <w:fldChar w:fldCharType="end"/>
            </w:r>
          </w:hyperlink>
        </w:p>
        <w:p w14:paraId="4FBC6502" w14:textId="41CCF169" w:rsidR="00EE2214" w:rsidRDefault="006F713F" w:rsidP="00247165">
          <w:pPr>
            <w:pStyle w:val="Sumrio1"/>
            <w:spacing w:after="0"/>
            <w:ind w:left="540" w:hanging="540"/>
            <w:rPr>
              <w:rFonts w:eastAsiaTheme="minorEastAsia" w:cstheme="minorBidi"/>
              <w:color w:val="auto"/>
              <w:sz w:val="22"/>
              <w:szCs w:val="22"/>
              <w:lang w:eastAsia="pt-BR"/>
            </w:rPr>
          </w:pPr>
          <w:hyperlink w:anchor="_Toc161319456" w:history="1">
            <w:r w:rsidR="00EE2214" w:rsidRPr="00A9707E">
              <w:rPr>
                <w:rStyle w:val="Hyperlink"/>
              </w:rPr>
              <w:t>6</w:t>
            </w:r>
            <w:r w:rsidR="00EE2214">
              <w:rPr>
                <w:rFonts w:eastAsiaTheme="minorEastAsia" w:cstheme="minorBidi"/>
                <w:color w:val="auto"/>
                <w:sz w:val="22"/>
                <w:szCs w:val="22"/>
                <w:lang w:eastAsia="pt-BR"/>
              </w:rPr>
              <w:tab/>
            </w:r>
            <w:r w:rsidR="00EE2214" w:rsidRPr="00A9707E">
              <w:rPr>
                <w:rStyle w:val="Hyperlink"/>
              </w:rPr>
              <w:t>Os Negócios da Telebras</w:t>
            </w:r>
            <w:r w:rsidR="00EE2214">
              <w:rPr>
                <w:webHidden/>
              </w:rPr>
              <w:tab/>
            </w:r>
            <w:r w:rsidR="00EE2214">
              <w:rPr>
                <w:webHidden/>
              </w:rPr>
              <w:fldChar w:fldCharType="begin"/>
            </w:r>
            <w:r w:rsidR="00EE2214">
              <w:rPr>
                <w:webHidden/>
              </w:rPr>
              <w:instrText xml:space="preserve"> PAGEREF _Toc161319456 \h </w:instrText>
            </w:r>
            <w:r w:rsidR="00EE2214">
              <w:rPr>
                <w:webHidden/>
              </w:rPr>
            </w:r>
            <w:r w:rsidR="00EE2214">
              <w:rPr>
                <w:webHidden/>
              </w:rPr>
              <w:fldChar w:fldCharType="separate"/>
            </w:r>
            <w:r w:rsidR="00247165">
              <w:rPr>
                <w:webHidden/>
              </w:rPr>
              <w:t>35</w:t>
            </w:r>
            <w:r w:rsidR="00EE2214">
              <w:rPr>
                <w:webHidden/>
              </w:rPr>
              <w:fldChar w:fldCharType="end"/>
            </w:r>
          </w:hyperlink>
        </w:p>
        <w:p w14:paraId="097BCDAE" w14:textId="767B1264"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57" w:history="1">
            <w:r w:rsidR="00EE2214" w:rsidRPr="00A9707E">
              <w:rPr>
                <w:rStyle w:val="Hyperlink"/>
                <w:noProof/>
              </w:rPr>
              <w:t>6.1</w:t>
            </w:r>
            <w:r w:rsidR="00EE2214">
              <w:rPr>
                <w:rFonts w:eastAsiaTheme="minorEastAsia" w:cstheme="minorBidi"/>
                <w:noProof/>
                <w:color w:val="auto"/>
                <w:sz w:val="22"/>
                <w:szCs w:val="22"/>
                <w:lang w:eastAsia="pt-BR"/>
              </w:rPr>
              <w:tab/>
            </w:r>
            <w:r w:rsidR="00EE2214" w:rsidRPr="00A9707E">
              <w:rPr>
                <w:rStyle w:val="Hyperlink"/>
                <w:noProof/>
              </w:rPr>
              <w:t>Conjuntura Econômica Setorial</w:t>
            </w:r>
            <w:r w:rsidR="00EE2214">
              <w:rPr>
                <w:noProof/>
                <w:webHidden/>
              </w:rPr>
              <w:tab/>
            </w:r>
            <w:r w:rsidR="00EE2214">
              <w:rPr>
                <w:noProof/>
                <w:webHidden/>
              </w:rPr>
              <w:fldChar w:fldCharType="begin"/>
            </w:r>
            <w:r w:rsidR="00EE2214">
              <w:rPr>
                <w:noProof/>
                <w:webHidden/>
              </w:rPr>
              <w:instrText xml:space="preserve"> PAGEREF _Toc161319457 \h </w:instrText>
            </w:r>
            <w:r w:rsidR="00EE2214">
              <w:rPr>
                <w:noProof/>
                <w:webHidden/>
              </w:rPr>
            </w:r>
            <w:r w:rsidR="00EE2214">
              <w:rPr>
                <w:noProof/>
                <w:webHidden/>
              </w:rPr>
              <w:fldChar w:fldCharType="separate"/>
            </w:r>
            <w:r w:rsidR="00247165">
              <w:rPr>
                <w:noProof/>
                <w:webHidden/>
              </w:rPr>
              <w:t>35</w:t>
            </w:r>
            <w:r w:rsidR="00EE2214">
              <w:rPr>
                <w:noProof/>
                <w:webHidden/>
              </w:rPr>
              <w:fldChar w:fldCharType="end"/>
            </w:r>
          </w:hyperlink>
        </w:p>
        <w:p w14:paraId="6D8E386B" w14:textId="6DD5532F"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58" w:history="1">
            <w:r w:rsidR="00EE2214" w:rsidRPr="00A9707E">
              <w:rPr>
                <w:rStyle w:val="Hyperlink"/>
                <w:noProof/>
              </w:rPr>
              <w:t>6.2</w:t>
            </w:r>
            <w:r w:rsidR="00EE2214">
              <w:rPr>
                <w:rFonts w:eastAsiaTheme="minorEastAsia" w:cstheme="minorBidi"/>
                <w:noProof/>
                <w:color w:val="auto"/>
                <w:sz w:val="22"/>
                <w:szCs w:val="22"/>
                <w:lang w:eastAsia="pt-BR"/>
              </w:rPr>
              <w:tab/>
            </w:r>
            <w:r w:rsidR="00EE2214" w:rsidRPr="00A9707E">
              <w:rPr>
                <w:rStyle w:val="Hyperlink"/>
                <w:noProof/>
              </w:rPr>
              <w:t>Vendas</w:t>
            </w:r>
            <w:r w:rsidR="00EE2214">
              <w:rPr>
                <w:noProof/>
                <w:webHidden/>
              </w:rPr>
              <w:tab/>
            </w:r>
            <w:r w:rsidR="00EE2214">
              <w:rPr>
                <w:noProof/>
                <w:webHidden/>
              </w:rPr>
              <w:fldChar w:fldCharType="begin"/>
            </w:r>
            <w:r w:rsidR="00EE2214">
              <w:rPr>
                <w:noProof/>
                <w:webHidden/>
              </w:rPr>
              <w:instrText xml:space="preserve"> PAGEREF _Toc161319458 \h </w:instrText>
            </w:r>
            <w:r w:rsidR="00EE2214">
              <w:rPr>
                <w:noProof/>
                <w:webHidden/>
              </w:rPr>
            </w:r>
            <w:r w:rsidR="00EE2214">
              <w:rPr>
                <w:noProof/>
                <w:webHidden/>
              </w:rPr>
              <w:fldChar w:fldCharType="separate"/>
            </w:r>
            <w:r w:rsidR="00247165">
              <w:rPr>
                <w:noProof/>
                <w:webHidden/>
              </w:rPr>
              <w:t>35</w:t>
            </w:r>
            <w:r w:rsidR="00EE2214">
              <w:rPr>
                <w:noProof/>
                <w:webHidden/>
              </w:rPr>
              <w:fldChar w:fldCharType="end"/>
            </w:r>
          </w:hyperlink>
        </w:p>
        <w:p w14:paraId="04174128" w14:textId="104B5C33"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59" w:history="1">
            <w:r w:rsidR="00EE2214" w:rsidRPr="00A9707E">
              <w:rPr>
                <w:rStyle w:val="Hyperlink"/>
                <w:noProof/>
              </w:rPr>
              <w:t>6.3</w:t>
            </w:r>
            <w:r w:rsidR="00EE2214">
              <w:rPr>
                <w:rFonts w:eastAsiaTheme="minorEastAsia" w:cstheme="minorBidi"/>
                <w:noProof/>
                <w:color w:val="auto"/>
                <w:sz w:val="22"/>
                <w:szCs w:val="22"/>
                <w:lang w:eastAsia="pt-BR"/>
              </w:rPr>
              <w:tab/>
            </w:r>
            <w:r w:rsidR="00EE2214" w:rsidRPr="00A9707E">
              <w:rPr>
                <w:rStyle w:val="Hyperlink"/>
                <w:noProof/>
              </w:rPr>
              <w:t>Inovação e Desenvolvimento de Produtos e Serviços</w:t>
            </w:r>
            <w:r w:rsidR="00EE2214">
              <w:rPr>
                <w:noProof/>
                <w:webHidden/>
              </w:rPr>
              <w:tab/>
            </w:r>
            <w:r w:rsidR="00EE2214">
              <w:rPr>
                <w:noProof/>
                <w:webHidden/>
              </w:rPr>
              <w:fldChar w:fldCharType="begin"/>
            </w:r>
            <w:r w:rsidR="00EE2214">
              <w:rPr>
                <w:noProof/>
                <w:webHidden/>
              </w:rPr>
              <w:instrText xml:space="preserve"> PAGEREF _Toc161319459 \h </w:instrText>
            </w:r>
            <w:r w:rsidR="00EE2214">
              <w:rPr>
                <w:noProof/>
                <w:webHidden/>
              </w:rPr>
            </w:r>
            <w:r w:rsidR="00EE2214">
              <w:rPr>
                <w:noProof/>
                <w:webHidden/>
              </w:rPr>
              <w:fldChar w:fldCharType="separate"/>
            </w:r>
            <w:r w:rsidR="00247165">
              <w:rPr>
                <w:noProof/>
                <w:webHidden/>
              </w:rPr>
              <w:t>36</w:t>
            </w:r>
            <w:r w:rsidR="00EE2214">
              <w:rPr>
                <w:noProof/>
                <w:webHidden/>
              </w:rPr>
              <w:fldChar w:fldCharType="end"/>
            </w:r>
          </w:hyperlink>
        </w:p>
        <w:p w14:paraId="0B2B5EBF" w14:textId="091F45F6" w:rsidR="00EE2214" w:rsidRDefault="006F713F" w:rsidP="00247165">
          <w:pPr>
            <w:pStyle w:val="Sumrio1"/>
            <w:spacing w:after="0"/>
            <w:ind w:left="540" w:hanging="540"/>
            <w:rPr>
              <w:rFonts w:eastAsiaTheme="minorEastAsia" w:cstheme="minorBidi"/>
              <w:color w:val="auto"/>
              <w:sz w:val="22"/>
              <w:szCs w:val="22"/>
              <w:lang w:eastAsia="pt-BR"/>
            </w:rPr>
          </w:pPr>
          <w:hyperlink w:anchor="_Toc161319460" w:history="1">
            <w:r w:rsidR="00EE2214" w:rsidRPr="00A9707E">
              <w:rPr>
                <w:rStyle w:val="Hyperlink"/>
              </w:rPr>
              <w:t>7</w:t>
            </w:r>
            <w:r w:rsidR="00EE2214">
              <w:rPr>
                <w:rFonts w:eastAsiaTheme="minorEastAsia" w:cstheme="minorBidi"/>
                <w:color w:val="auto"/>
                <w:sz w:val="22"/>
                <w:szCs w:val="22"/>
                <w:lang w:eastAsia="pt-BR"/>
              </w:rPr>
              <w:tab/>
            </w:r>
            <w:r w:rsidR="00EE2214" w:rsidRPr="00A9707E">
              <w:rPr>
                <w:rStyle w:val="Hyperlink"/>
              </w:rPr>
              <w:t>Evolução da Rede de Telecomunicações</w:t>
            </w:r>
            <w:r w:rsidR="00EE2214">
              <w:rPr>
                <w:webHidden/>
              </w:rPr>
              <w:tab/>
            </w:r>
            <w:r w:rsidR="00EE2214">
              <w:rPr>
                <w:webHidden/>
              </w:rPr>
              <w:fldChar w:fldCharType="begin"/>
            </w:r>
            <w:r w:rsidR="00EE2214">
              <w:rPr>
                <w:webHidden/>
              </w:rPr>
              <w:instrText xml:space="preserve"> PAGEREF _Toc161319460 \h </w:instrText>
            </w:r>
            <w:r w:rsidR="00EE2214">
              <w:rPr>
                <w:webHidden/>
              </w:rPr>
            </w:r>
            <w:r w:rsidR="00EE2214">
              <w:rPr>
                <w:webHidden/>
              </w:rPr>
              <w:fldChar w:fldCharType="separate"/>
            </w:r>
            <w:r w:rsidR="00247165">
              <w:rPr>
                <w:webHidden/>
              </w:rPr>
              <w:t>38</w:t>
            </w:r>
            <w:r w:rsidR="00EE2214">
              <w:rPr>
                <w:webHidden/>
              </w:rPr>
              <w:fldChar w:fldCharType="end"/>
            </w:r>
          </w:hyperlink>
        </w:p>
        <w:p w14:paraId="19DE763E" w14:textId="11B39127"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61" w:history="1">
            <w:r w:rsidR="00EE2214" w:rsidRPr="00A9707E">
              <w:rPr>
                <w:rStyle w:val="Hyperlink"/>
                <w:noProof/>
              </w:rPr>
              <w:t>7.1</w:t>
            </w:r>
            <w:r w:rsidR="00EE2214">
              <w:rPr>
                <w:rFonts w:eastAsiaTheme="minorEastAsia" w:cstheme="minorBidi"/>
                <w:noProof/>
                <w:color w:val="auto"/>
                <w:sz w:val="22"/>
                <w:szCs w:val="22"/>
                <w:lang w:eastAsia="pt-BR"/>
              </w:rPr>
              <w:tab/>
            </w:r>
            <w:r w:rsidR="00EE2214" w:rsidRPr="00A9707E">
              <w:rPr>
                <w:rStyle w:val="Hyperlink"/>
                <w:noProof/>
              </w:rPr>
              <w:t>Rede Terrestre</w:t>
            </w:r>
            <w:r w:rsidR="00EE2214">
              <w:rPr>
                <w:noProof/>
                <w:webHidden/>
              </w:rPr>
              <w:tab/>
            </w:r>
            <w:r w:rsidR="00EE2214">
              <w:rPr>
                <w:noProof/>
                <w:webHidden/>
              </w:rPr>
              <w:fldChar w:fldCharType="begin"/>
            </w:r>
            <w:r w:rsidR="00EE2214">
              <w:rPr>
                <w:noProof/>
                <w:webHidden/>
              </w:rPr>
              <w:instrText xml:space="preserve"> PAGEREF _Toc161319461 \h </w:instrText>
            </w:r>
            <w:r w:rsidR="00EE2214">
              <w:rPr>
                <w:noProof/>
                <w:webHidden/>
              </w:rPr>
            </w:r>
            <w:r w:rsidR="00EE2214">
              <w:rPr>
                <w:noProof/>
                <w:webHidden/>
              </w:rPr>
              <w:fldChar w:fldCharType="separate"/>
            </w:r>
            <w:r w:rsidR="00247165">
              <w:rPr>
                <w:noProof/>
                <w:webHidden/>
              </w:rPr>
              <w:t>38</w:t>
            </w:r>
            <w:r w:rsidR="00EE2214">
              <w:rPr>
                <w:noProof/>
                <w:webHidden/>
              </w:rPr>
              <w:fldChar w:fldCharType="end"/>
            </w:r>
          </w:hyperlink>
        </w:p>
        <w:p w14:paraId="066AEC7D" w14:textId="5A626E88"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62" w:history="1">
            <w:r w:rsidR="00EE2214" w:rsidRPr="00A9707E">
              <w:rPr>
                <w:rStyle w:val="Hyperlink"/>
                <w:noProof/>
              </w:rPr>
              <w:t>7.2</w:t>
            </w:r>
            <w:r w:rsidR="00EE2214">
              <w:rPr>
                <w:rFonts w:eastAsiaTheme="minorEastAsia" w:cstheme="minorBidi"/>
                <w:noProof/>
                <w:color w:val="auto"/>
                <w:sz w:val="22"/>
                <w:szCs w:val="22"/>
                <w:lang w:eastAsia="pt-BR"/>
              </w:rPr>
              <w:tab/>
            </w:r>
            <w:r w:rsidR="00EE2214" w:rsidRPr="00A9707E">
              <w:rPr>
                <w:rStyle w:val="Hyperlink"/>
                <w:noProof/>
              </w:rPr>
              <w:t>Satélite Geoestacionário de Defesa e Comunicações Estratégicas</w:t>
            </w:r>
            <w:r w:rsidR="00EE2214">
              <w:rPr>
                <w:noProof/>
                <w:webHidden/>
              </w:rPr>
              <w:tab/>
            </w:r>
            <w:r w:rsidR="00EE2214">
              <w:rPr>
                <w:noProof/>
                <w:webHidden/>
              </w:rPr>
              <w:fldChar w:fldCharType="begin"/>
            </w:r>
            <w:r w:rsidR="00EE2214">
              <w:rPr>
                <w:noProof/>
                <w:webHidden/>
              </w:rPr>
              <w:instrText xml:space="preserve"> PAGEREF _Toc161319462 \h </w:instrText>
            </w:r>
            <w:r w:rsidR="00EE2214">
              <w:rPr>
                <w:noProof/>
                <w:webHidden/>
              </w:rPr>
            </w:r>
            <w:r w:rsidR="00EE2214">
              <w:rPr>
                <w:noProof/>
                <w:webHidden/>
              </w:rPr>
              <w:fldChar w:fldCharType="separate"/>
            </w:r>
            <w:r w:rsidR="00247165">
              <w:rPr>
                <w:noProof/>
                <w:webHidden/>
              </w:rPr>
              <w:t>39</w:t>
            </w:r>
            <w:r w:rsidR="00EE2214">
              <w:rPr>
                <w:noProof/>
                <w:webHidden/>
              </w:rPr>
              <w:fldChar w:fldCharType="end"/>
            </w:r>
          </w:hyperlink>
        </w:p>
        <w:p w14:paraId="4EFF2138" w14:textId="1C294FE0"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63" w:history="1">
            <w:r w:rsidR="00EE2214" w:rsidRPr="00A9707E">
              <w:rPr>
                <w:rStyle w:val="Hyperlink"/>
                <w:noProof/>
              </w:rPr>
              <w:t>7.3</w:t>
            </w:r>
            <w:r w:rsidR="00EE2214">
              <w:rPr>
                <w:rFonts w:eastAsiaTheme="minorEastAsia" w:cstheme="minorBidi"/>
                <w:noProof/>
                <w:color w:val="auto"/>
                <w:sz w:val="22"/>
                <w:szCs w:val="22"/>
                <w:lang w:eastAsia="pt-BR"/>
              </w:rPr>
              <w:tab/>
            </w:r>
            <w:r w:rsidR="00EE2214" w:rsidRPr="00A9707E">
              <w:rPr>
                <w:rStyle w:val="Hyperlink"/>
                <w:noProof/>
              </w:rPr>
              <w:t>Circuitos GESAC</w:t>
            </w:r>
            <w:r w:rsidR="00EE2214">
              <w:rPr>
                <w:noProof/>
                <w:webHidden/>
              </w:rPr>
              <w:tab/>
            </w:r>
            <w:r w:rsidR="00EE2214">
              <w:rPr>
                <w:noProof/>
                <w:webHidden/>
              </w:rPr>
              <w:fldChar w:fldCharType="begin"/>
            </w:r>
            <w:r w:rsidR="00EE2214">
              <w:rPr>
                <w:noProof/>
                <w:webHidden/>
              </w:rPr>
              <w:instrText xml:space="preserve"> PAGEREF _Toc161319463 \h </w:instrText>
            </w:r>
            <w:r w:rsidR="00EE2214">
              <w:rPr>
                <w:noProof/>
                <w:webHidden/>
              </w:rPr>
            </w:r>
            <w:r w:rsidR="00EE2214">
              <w:rPr>
                <w:noProof/>
                <w:webHidden/>
              </w:rPr>
              <w:fldChar w:fldCharType="separate"/>
            </w:r>
            <w:r w:rsidR="00247165">
              <w:rPr>
                <w:noProof/>
                <w:webHidden/>
              </w:rPr>
              <w:t>40</w:t>
            </w:r>
            <w:r w:rsidR="00EE2214">
              <w:rPr>
                <w:noProof/>
                <w:webHidden/>
              </w:rPr>
              <w:fldChar w:fldCharType="end"/>
            </w:r>
          </w:hyperlink>
        </w:p>
        <w:p w14:paraId="2CAA48D2" w14:textId="69B02B82"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64" w:history="1">
            <w:r w:rsidR="00EE2214" w:rsidRPr="00A9707E">
              <w:rPr>
                <w:rStyle w:val="Hyperlink"/>
                <w:noProof/>
              </w:rPr>
              <w:t>7.4</w:t>
            </w:r>
            <w:r w:rsidR="00EE2214">
              <w:rPr>
                <w:rFonts w:eastAsiaTheme="minorEastAsia" w:cstheme="minorBidi"/>
                <w:noProof/>
                <w:color w:val="auto"/>
                <w:sz w:val="22"/>
                <w:szCs w:val="22"/>
                <w:lang w:eastAsia="pt-BR"/>
              </w:rPr>
              <w:tab/>
            </w:r>
            <w:r w:rsidR="00EE2214" w:rsidRPr="00A9707E">
              <w:rPr>
                <w:rStyle w:val="Hyperlink"/>
                <w:noProof/>
              </w:rPr>
              <w:t>Operação e Manutenção</w:t>
            </w:r>
            <w:r w:rsidR="00EE2214">
              <w:rPr>
                <w:noProof/>
                <w:webHidden/>
              </w:rPr>
              <w:tab/>
            </w:r>
            <w:r w:rsidR="00EE2214">
              <w:rPr>
                <w:noProof/>
                <w:webHidden/>
              </w:rPr>
              <w:fldChar w:fldCharType="begin"/>
            </w:r>
            <w:r w:rsidR="00EE2214">
              <w:rPr>
                <w:noProof/>
                <w:webHidden/>
              </w:rPr>
              <w:instrText xml:space="preserve"> PAGEREF _Toc161319464 \h </w:instrText>
            </w:r>
            <w:r w:rsidR="00EE2214">
              <w:rPr>
                <w:noProof/>
                <w:webHidden/>
              </w:rPr>
            </w:r>
            <w:r w:rsidR="00EE2214">
              <w:rPr>
                <w:noProof/>
                <w:webHidden/>
              </w:rPr>
              <w:fldChar w:fldCharType="separate"/>
            </w:r>
            <w:r w:rsidR="00247165">
              <w:rPr>
                <w:noProof/>
                <w:webHidden/>
              </w:rPr>
              <w:t>41</w:t>
            </w:r>
            <w:r w:rsidR="00EE2214">
              <w:rPr>
                <w:noProof/>
                <w:webHidden/>
              </w:rPr>
              <w:fldChar w:fldCharType="end"/>
            </w:r>
          </w:hyperlink>
        </w:p>
        <w:p w14:paraId="1BB87436" w14:textId="6351B847"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65" w:history="1">
            <w:r w:rsidR="00EE2214" w:rsidRPr="00A9707E">
              <w:rPr>
                <w:rStyle w:val="Hyperlink"/>
                <w:noProof/>
              </w:rPr>
              <w:t>7.5</w:t>
            </w:r>
            <w:r w:rsidR="00EE2214">
              <w:rPr>
                <w:rFonts w:eastAsiaTheme="minorEastAsia" w:cstheme="minorBidi"/>
                <w:noProof/>
                <w:color w:val="auto"/>
                <w:sz w:val="22"/>
                <w:szCs w:val="22"/>
                <w:lang w:eastAsia="pt-BR"/>
              </w:rPr>
              <w:tab/>
            </w:r>
            <w:r w:rsidR="00EE2214" w:rsidRPr="00A9707E">
              <w:rPr>
                <w:rStyle w:val="Hyperlink"/>
                <w:noProof/>
              </w:rPr>
              <w:t>Tecnologia da Informação</w:t>
            </w:r>
            <w:r w:rsidR="00EE2214">
              <w:rPr>
                <w:noProof/>
                <w:webHidden/>
              </w:rPr>
              <w:tab/>
            </w:r>
            <w:r w:rsidR="00EE2214">
              <w:rPr>
                <w:noProof/>
                <w:webHidden/>
              </w:rPr>
              <w:fldChar w:fldCharType="begin"/>
            </w:r>
            <w:r w:rsidR="00EE2214">
              <w:rPr>
                <w:noProof/>
                <w:webHidden/>
              </w:rPr>
              <w:instrText xml:space="preserve"> PAGEREF _Toc161319465 \h </w:instrText>
            </w:r>
            <w:r w:rsidR="00EE2214">
              <w:rPr>
                <w:noProof/>
                <w:webHidden/>
              </w:rPr>
            </w:r>
            <w:r w:rsidR="00EE2214">
              <w:rPr>
                <w:noProof/>
                <w:webHidden/>
              </w:rPr>
              <w:fldChar w:fldCharType="separate"/>
            </w:r>
            <w:r w:rsidR="00247165">
              <w:rPr>
                <w:noProof/>
                <w:webHidden/>
              </w:rPr>
              <w:t>43</w:t>
            </w:r>
            <w:r w:rsidR="00EE2214">
              <w:rPr>
                <w:noProof/>
                <w:webHidden/>
              </w:rPr>
              <w:fldChar w:fldCharType="end"/>
            </w:r>
          </w:hyperlink>
        </w:p>
        <w:p w14:paraId="0E4EFFE1" w14:textId="077676F1"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66" w:history="1">
            <w:r w:rsidR="00EE2214" w:rsidRPr="00A9707E">
              <w:rPr>
                <w:rStyle w:val="Hyperlink"/>
                <w:noProof/>
              </w:rPr>
              <w:t>7.6</w:t>
            </w:r>
            <w:r w:rsidR="00EE2214">
              <w:rPr>
                <w:rFonts w:eastAsiaTheme="minorEastAsia" w:cstheme="minorBidi"/>
                <w:noProof/>
                <w:color w:val="auto"/>
                <w:sz w:val="22"/>
                <w:szCs w:val="22"/>
                <w:lang w:eastAsia="pt-BR"/>
              </w:rPr>
              <w:tab/>
            </w:r>
            <w:r w:rsidR="00EE2214" w:rsidRPr="00A9707E">
              <w:rPr>
                <w:rStyle w:val="Hyperlink"/>
                <w:noProof/>
              </w:rPr>
              <w:t>Segurança da Informação e Comunicações</w:t>
            </w:r>
            <w:r w:rsidR="00EE2214">
              <w:rPr>
                <w:noProof/>
                <w:webHidden/>
              </w:rPr>
              <w:tab/>
            </w:r>
            <w:r w:rsidR="00EE2214">
              <w:rPr>
                <w:noProof/>
                <w:webHidden/>
              </w:rPr>
              <w:fldChar w:fldCharType="begin"/>
            </w:r>
            <w:r w:rsidR="00EE2214">
              <w:rPr>
                <w:noProof/>
                <w:webHidden/>
              </w:rPr>
              <w:instrText xml:space="preserve"> PAGEREF _Toc161319466 \h </w:instrText>
            </w:r>
            <w:r w:rsidR="00EE2214">
              <w:rPr>
                <w:noProof/>
                <w:webHidden/>
              </w:rPr>
            </w:r>
            <w:r w:rsidR="00EE2214">
              <w:rPr>
                <w:noProof/>
                <w:webHidden/>
              </w:rPr>
              <w:fldChar w:fldCharType="separate"/>
            </w:r>
            <w:r w:rsidR="00247165">
              <w:rPr>
                <w:noProof/>
                <w:webHidden/>
              </w:rPr>
              <w:t>43</w:t>
            </w:r>
            <w:r w:rsidR="00EE2214">
              <w:rPr>
                <w:noProof/>
                <w:webHidden/>
              </w:rPr>
              <w:fldChar w:fldCharType="end"/>
            </w:r>
          </w:hyperlink>
        </w:p>
        <w:p w14:paraId="07BB206D" w14:textId="1504BBD3" w:rsidR="00EE2214" w:rsidRDefault="006F713F" w:rsidP="00247165">
          <w:pPr>
            <w:pStyle w:val="Sumrio1"/>
            <w:spacing w:after="0"/>
            <w:ind w:left="540" w:hanging="540"/>
            <w:rPr>
              <w:rFonts w:eastAsiaTheme="minorEastAsia" w:cstheme="minorBidi"/>
              <w:color w:val="auto"/>
              <w:sz w:val="22"/>
              <w:szCs w:val="22"/>
              <w:lang w:eastAsia="pt-BR"/>
            </w:rPr>
          </w:pPr>
          <w:hyperlink w:anchor="_Toc161319467" w:history="1">
            <w:r w:rsidR="00EE2214" w:rsidRPr="00A9707E">
              <w:rPr>
                <w:rStyle w:val="Hyperlink"/>
              </w:rPr>
              <w:t>8</w:t>
            </w:r>
            <w:r w:rsidR="00EE2214">
              <w:rPr>
                <w:rFonts w:eastAsiaTheme="minorEastAsia" w:cstheme="minorBidi"/>
                <w:color w:val="auto"/>
                <w:sz w:val="22"/>
                <w:szCs w:val="22"/>
                <w:lang w:eastAsia="pt-BR"/>
              </w:rPr>
              <w:tab/>
            </w:r>
            <w:r w:rsidR="00EE2214" w:rsidRPr="00A9707E">
              <w:rPr>
                <w:rStyle w:val="Hyperlink"/>
              </w:rPr>
              <w:t>Gestão de Pessoas</w:t>
            </w:r>
            <w:r w:rsidR="00EE2214">
              <w:rPr>
                <w:webHidden/>
              </w:rPr>
              <w:tab/>
            </w:r>
            <w:r w:rsidR="00EE2214">
              <w:rPr>
                <w:webHidden/>
              </w:rPr>
              <w:fldChar w:fldCharType="begin"/>
            </w:r>
            <w:r w:rsidR="00EE2214">
              <w:rPr>
                <w:webHidden/>
              </w:rPr>
              <w:instrText xml:space="preserve"> PAGEREF _Toc161319467 \h </w:instrText>
            </w:r>
            <w:r w:rsidR="00EE2214">
              <w:rPr>
                <w:webHidden/>
              </w:rPr>
            </w:r>
            <w:r w:rsidR="00EE2214">
              <w:rPr>
                <w:webHidden/>
              </w:rPr>
              <w:fldChar w:fldCharType="separate"/>
            </w:r>
            <w:r w:rsidR="00247165">
              <w:rPr>
                <w:webHidden/>
              </w:rPr>
              <w:t>45</w:t>
            </w:r>
            <w:r w:rsidR="00EE2214">
              <w:rPr>
                <w:webHidden/>
              </w:rPr>
              <w:fldChar w:fldCharType="end"/>
            </w:r>
          </w:hyperlink>
        </w:p>
        <w:p w14:paraId="30D7A63A" w14:textId="10F26E1D"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68" w:history="1">
            <w:r w:rsidR="00EE2214" w:rsidRPr="00A9707E">
              <w:rPr>
                <w:rStyle w:val="Hyperlink"/>
                <w:noProof/>
              </w:rPr>
              <w:t>8.1</w:t>
            </w:r>
            <w:r w:rsidR="00EE2214">
              <w:rPr>
                <w:rFonts w:eastAsiaTheme="minorEastAsia" w:cstheme="minorBidi"/>
                <w:noProof/>
                <w:color w:val="auto"/>
                <w:sz w:val="22"/>
                <w:szCs w:val="22"/>
                <w:lang w:eastAsia="pt-BR"/>
              </w:rPr>
              <w:tab/>
            </w:r>
            <w:r w:rsidR="00EE2214" w:rsidRPr="00A9707E">
              <w:rPr>
                <w:rStyle w:val="Hyperlink"/>
                <w:noProof/>
              </w:rPr>
              <w:t>Planos de Previdência e Seguridade Social</w:t>
            </w:r>
            <w:r w:rsidR="00EE2214">
              <w:rPr>
                <w:noProof/>
                <w:webHidden/>
              </w:rPr>
              <w:tab/>
            </w:r>
            <w:r w:rsidR="00EE2214">
              <w:rPr>
                <w:noProof/>
                <w:webHidden/>
              </w:rPr>
              <w:fldChar w:fldCharType="begin"/>
            </w:r>
            <w:r w:rsidR="00EE2214">
              <w:rPr>
                <w:noProof/>
                <w:webHidden/>
              </w:rPr>
              <w:instrText xml:space="preserve"> PAGEREF _Toc161319468 \h </w:instrText>
            </w:r>
            <w:r w:rsidR="00EE2214">
              <w:rPr>
                <w:noProof/>
                <w:webHidden/>
              </w:rPr>
            </w:r>
            <w:r w:rsidR="00EE2214">
              <w:rPr>
                <w:noProof/>
                <w:webHidden/>
              </w:rPr>
              <w:fldChar w:fldCharType="separate"/>
            </w:r>
            <w:r w:rsidR="00247165">
              <w:rPr>
                <w:noProof/>
                <w:webHidden/>
              </w:rPr>
              <w:t>45</w:t>
            </w:r>
            <w:r w:rsidR="00EE2214">
              <w:rPr>
                <w:noProof/>
                <w:webHidden/>
              </w:rPr>
              <w:fldChar w:fldCharType="end"/>
            </w:r>
          </w:hyperlink>
        </w:p>
        <w:p w14:paraId="5C10D47D" w14:textId="548673E6"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69" w:history="1">
            <w:r w:rsidR="00EE2214" w:rsidRPr="00A9707E">
              <w:rPr>
                <w:rStyle w:val="Hyperlink"/>
                <w:noProof/>
              </w:rPr>
              <w:t>8.2</w:t>
            </w:r>
            <w:r w:rsidR="00EE2214">
              <w:rPr>
                <w:rFonts w:eastAsiaTheme="minorEastAsia" w:cstheme="minorBidi"/>
                <w:noProof/>
                <w:color w:val="auto"/>
                <w:sz w:val="22"/>
                <w:szCs w:val="22"/>
                <w:lang w:eastAsia="pt-BR"/>
              </w:rPr>
              <w:tab/>
            </w:r>
            <w:r w:rsidR="00EE2214" w:rsidRPr="00A9707E">
              <w:rPr>
                <w:rStyle w:val="Hyperlink"/>
                <w:noProof/>
              </w:rPr>
              <w:t>Quadro de Pessoal e Remuneração</w:t>
            </w:r>
            <w:r w:rsidR="00EE2214">
              <w:rPr>
                <w:noProof/>
                <w:webHidden/>
              </w:rPr>
              <w:tab/>
            </w:r>
            <w:r w:rsidR="00EE2214">
              <w:rPr>
                <w:noProof/>
                <w:webHidden/>
              </w:rPr>
              <w:fldChar w:fldCharType="begin"/>
            </w:r>
            <w:r w:rsidR="00EE2214">
              <w:rPr>
                <w:noProof/>
                <w:webHidden/>
              </w:rPr>
              <w:instrText xml:space="preserve"> PAGEREF _Toc161319469 \h </w:instrText>
            </w:r>
            <w:r w:rsidR="00EE2214">
              <w:rPr>
                <w:noProof/>
                <w:webHidden/>
              </w:rPr>
            </w:r>
            <w:r w:rsidR="00EE2214">
              <w:rPr>
                <w:noProof/>
                <w:webHidden/>
              </w:rPr>
              <w:fldChar w:fldCharType="separate"/>
            </w:r>
            <w:r w:rsidR="00247165">
              <w:rPr>
                <w:noProof/>
                <w:webHidden/>
              </w:rPr>
              <w:t>45</w:t>
            </w:r>
            <w:r w:rsidR="00EE2214">
              <w:rPr>
                <w:noProof/>
                <w:webHidden/>
              </w:rPr>
              <w:fldChar w:fldCharType="end"/>
            </w:r>
          </w:hyperlink>
        </w:p>
        <w:p w14:paraId="0CB49BF3" w14:textId="6E95EEB0"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70" w:history="1">
            <w:r w:rsidR="00EE2214" w:rsidRPr="00A9707E">
              <w:rPr>
                <w:rStyle w:val="Hyperlink"/>
                <w:noProof/>
              </w:rPr>
              <w:t>8.3</w:t>
            </w:r>
            <w:r w:rsidR="00EE2214">
              <w:rPr>
                <w:rFonts w:eastAsiaTheme="minorEastAsia" w:cstheme="minorBidi"/>
                <w:noProof/>
                <w:color w:val="auto"/>
                <w:sz w:val="22"/>
                <w:szCs w:val="22"/>
                <w:lang w:eastAsia="pt-BR"/>
              </w:rPr>
              <w:tab/>
            </w:r>
            <w:r w:rsidR="00EE2214" w:rsidRPr="00A9707E">
              <w:rPr>
                <w:rStyle w:val="Hyperlink"/>
                <w:noProof/>
              </w:rPr>
              <w:t>Remuneração</w:t>
            </w:r>
            <w:r w:rsidR="00EE2214">
              <w:rPr>
                <w:noProof/>
                <w:webHidden/>
              </w:rPr>
              <w:tab/>
            </w:r>
            <w:r w:rsidR="00EE2214">
              <w:rPr>
                <w:noProof/>
                <w:webHidden/>
              </w:rPr>
              <w:fldChar w:fldCharType="begin"/>
            </w:r>
            <w:r w:rsidR="00EE2214">
              <w:rPr>
                <w:noProof/>
                <w:webHidden/>
              </w:rPr>
              <w:instrText xml:space="preserve"> PAGEREF _Toc161319470 \h </w:instrText>
            </w:r>
            <w:r w:rsidR="00EE2214">
              <w:rPr>
                <w:noProof/>
                <w:webHidden/>
              </w:rPr>
            </w:r>
            <w:r w:rsidR="00EE2214">
              <w:rPr>
                <w:noProof/>
                <w:webHidden/>
              </w:rPr>
              <w:fldChar w:fldCharType="separate"/>
            </w:r>
            <w:r w:rsidR="00247165">
              <w:rPr>
                <w:noProof/>
                <w:webHidden/>
              </w:rPr>
              <w:t>46</w:t>
            </w:r>
            <w:r w:rsidR="00EE2214">
              <w:rPr>
                <w:noProof/>
                <w:webHidden/>
              </w:rPr>
              <w:fldChar w:fldCharType="end"/>
            </w:r>
          </w:hyperlink>
        </w:p>
        <w:p w14:paraId="07CF7945" w14:textId="669AF9FF"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71" w:history="1">
            <w:r w:rsidR="00EE2214" w:rsidRPr="00A9707E">
              <w:rPr>
                <w:rStyle w:val="Hyperlink"/>
                <w:noProof/>
              </w:rPr>
              <w:t>8.4</w:t>
            </w:r>
            <w:r w:rsidR="00EE2214">
              <w:rPr>
                <w:rFonts w:eastAsiaTheme="minorEastAsia" w:cstheme="minorBidi"/>
                <w:noProof/>
                <w:color w:val="auto"/>
                <w:sz w:val="22"/>
                <w:szCs w:val="22"/>
                <w:lang w:eastAsia="pt-BR"/>
              </w:rPr>
              <w:tab/>
            </w:r>
            <w:r w:rsidR="00EE2214" w:rsidRPr="00A9707E">
              <w:rPr>
                <w:rStyle w:val="Hyperlink"/>
                <w:noProof/>
              </w:rPr>
              <w:t>Acordo Coletivo de Trabalho</w:t>
            </w:r>
            <w:r w:rsidR="00EE2214">
              <w:rPr>
                <w:noProof/>
                <w:webHidden/>
              </w:rPr>
              <w:tab/>
            </w:r>
            <w:r w:rsidR="00EE2214">
              <w:rPr>
                <w:noProof/>
                <w:webHidden/>
              </w:rPr>
              <w:fldChar w:fldCharType="begin"/>
            </w:r>
            <w:r w:rsidR="00EE2214">
              <w:rPr>
                <w:noProof/>
                <w:webHidden/>
              </w:rPr>
              <w:instrText xml:space="preserve"> PAGEREF _Toc161319471 \h </w:instrText>
            </w:r>
            <w:r w:rsidR="00EE2214">
              <w:rPr>
                <w:noProof/>
                <w:webHidden/>
              </w:rPr>
            </w:r>
            <w:r w:rsidR="00EE2214">
              <w:rPr>
                <w:noProof/>
                <w:webHidden/>
              </w:rPr>
              <w:fldChar w:fldCharType="separate"/>
            </w:r>
            <w:r w:rsidR="00247165">
              <w:rPr>
                <w:noProof/>
                <w:webHidden/>
              </w:rPr>
              <w:t>46</w:t>
            </w:r>
            <w:r w:rsidR="00EE2214">
              <w:rPr>
                <w:noProof/>
                <w:webHidden/>
              </w:rPr>
              <w:fldChar w:fldCharType="end"/>
            </w:r>
          </w:hyperlink>
        </w:p>
        <w:p w14:paraId="3D6C0430" w14:textId="543D6C15"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72" w:history="1">
            <w:r w:rsidR="00EE2214" w:rsidRPr="00A9707E">
              <w:rPr>
                <w:rStyle w:val="Hyperlink"/>
                <w:noProof/>
              </w:rPr>
              <w:t>8.5</w:t>
            </w:r>
            <w:r w:rsidR="00EE2214">
              <w:rPr>
                <w:rFonts w:eastAsiaTheme="minorEastAsia" w:cstheme="minorBidi"/>
                <w:noProof/>
                <w:color w:val="auto"/>
                <w:sz w:val="22"/>
                <w:szCs w:val="22"/>
                <w:lang w:eastAsia="pt-BR"/>
              </w:rPr>
              <w:tab/>
            </w:r>
            <w:r w:rsidR="00EE2214" w:rsidRPr="00A9707E">
              <w:rPr>
                <w:rStyle w:val="Hyperlink"/>
                <w:noProof/>
              </w:rPr>
              <w:t>Concurso Público</w:t>
            </w:r>
            <w:r w:rsidR="00EE2214">
              <w:rPr>
                <w:noProof/>
                <w:webHidden/>
              </w:rPr>
              <w:tab/>
            </w:r>
            <w:r w:rsidR="00EE2214">
              <w:rPr>
                <w:noProof/>
                <w:webHidden/>
              </w:rPr>
              <w:fldChar w:fldCharType="begin"/>
            </w:r>
            <w:r w:rsidR="00EE2214">
              <w:rPr>
                <w:noProof/>
                <w:webHidden/>
              </w:rPr>
              <w:instrText xml:space="preserve"> PAGEREF _Toc161319472 \h </w:instrText>
            </w:r>
            <w:r w:rsidR="00EE2214">
              <w:rPr>
                <w:noProof/>
                <w:webHidden/>
              </w:rPr>
            </w:r>
            <w:r w:rsidR="00EE2214">
              <w:rPr>
                <w:noProof/>
                <w:webHidden/>
              </w:rPr>
              <w:fldChar w:fldCharType="separate"/>
            </w:r>
            <w:r w:rsidR="00247165">
              <w:rPr>
                <w:noProof/>
                <w:webHidden/>
              </w:rPr>
              <w:t>46</w:t>
            </w:r>
            <w:r w:rsidR="00EE2214">
              <w:rPr>
                <w:noProof/>
                <w:webHidden/>
              </w:rPr>
              <w:fldChar w:fldCharType="end"/>
            </w:r>
          </w:hyperlink>
        </w:p>
        <w:p w14:paraId="73E98126" w14:textId="628D0771"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73" w:history="1">
            <w:r w:rsidR="00EE2214" w:rsidRPr="00A9707E">
              <w:rPr>
                <w:rStyle w:val="Hyperlink"/>
                <w:noProof/>
              </w:rPr>
              <w:t>8.6</w:t>
            </w:r>
            <w:r w:rsidR="00EE2214">
              <w:rPr>
                <w:rFonts w:eastAsiaTheme="minorEastAsia" w:cstheme="minorBidi"/>
                <w:noProof/>
                <w:color w:val="auto"/>
                <w:sz w:val="22"/>
                <w:szCs w:val="22"/>
                <w:lang w:eastAsia="pt-BR"/>
              </w:rPr>
              <w:tab/>
            </w:r>
            <w:r w:rsidR="00EE2214" w:rsidRPr="00A9707E">
              <w:rPr>
                <w:rStyle w:val="Hyperlink"/>
                <w:noProof/>
              </w:rPr>
              <w:t>Avaliação de Desempenho</w:t>
            </w:r>
            <w:r w:rsidR="00EE2214">
              <w:rPr>
                <w:noProof/>
                <w:webHidden/>
              </w:rPr>
              <w:tab/>
            </w:r>
            <w:r w:rsidR="00EE2214">
              <w:rPr>
                <w:noProof/>
                <w:webHidden/>
              </w:rPr>
              <w:fldChar w:fldCharType="begin"/>
            </w:r>
            <w:r w:rsidR="00EE2214">
              <w:rPr>
                <w:noProof/>
                <w:webHidden/>
              </w:rPr>
              <w:instrText xml:space="preserve"> PAGEREF _Toc161319473 \h </w:instrText>
            </w:r>
            <w:r w:rsidR="00EE2214">
              <w:rPr>
                <w:noProof/>
                <w:webHidden/>
              </w:rPr>
            </w:r>
            <w:r w:rsidR="00EE2214">
              <w:rPr>
                <w:noProof/>
                <w:webHidden/>
              </w:rPr>
              <w:fldChar w:fldCharType="separate"/>
            </w:r>
            <w:r w:rsidR="00247165">
              <w:rPr>
                <w:noProof/>
                <w:webHidden/>
              </w:rPr>
              <w:t>46</w:t>
            </w:r>
            <w:r w:rsidR="00EE2214">
              <w:rPr>
                <w:noProof/>
                <w:webHidden/>
              </w:rPr>
              <w:fldChar w:fldCharType="end"/>
            </w:r>
          </w:hyperlink>
        </w:p>
        <w:p w14:paraId="600C753B" w14:textId="1C929597" w:rsidR="00EE2214" w:rsidRDefault="006F713F" w:rsidP="00247165">
          <w:pPr>
            <w:pStyle w:val="Sumrio2"/>
            <w:spacing w:before="0" w:after="0"/>
            <w:ind w:left="540" w:hanging="540"/>
            <w:rPr>
              <w:rFonts w:eastAsiaTheme="minorEastAsia" w:cstheme="minorBidi"/>
              <w:noProof/>
              <w:color w:val="auto"/>
              <w:sz w:val="22"/>
              <w:szCs w:val="22"/>
              <w:lang w:eastAsia="pt-BR"/>
            </w:rPr>
          </w:pPr>
          <w:hyperlink w:anchor="_Toc161319474" w:history="1">
            <w:r w:rsidR="00EE2214" w:rsidRPr="00A9707E">
              <w:rPr>
                <w:rStyle w:val="Hyperlink"/>
                <w:noProof/>
              </w:rPr>
              <w:t>8.7</w:t>
            </w:r>
            <w:r w:rsidR="00EE2214">
              <w:rPr>
                <w:rFonts w:eastAsiaTheme="minorEastAsia" w:cstheme="minorBidi"/>
                <w:noProof/>
                <w:color w:val="auto"/>
                <w:sz w:val="22"/>
                <w:szCs w:val="22"/>
                <w:lang w:eastAsia="pt-BR"/>
              </w:rPr>
              <w:tab/>
            </w:r>
            <w:r w:rsidR="00EE2214" w:rsidRPr="00A9707E">
              <w:rPr>
                <w:rStyle w:val="Hyperlink"/>
                <w:noProof/>
              </w:rPr>
              <w:t>Capacitação</w:t>
            </w:r>
            <w:r w:rsidR="00EE2214">
              <w:rPr>
                <w:noProof/>
                <w:webHidden/>
              </w:rPr>
              <w:tab/>
            </w:r>
            <w:r w:rsidR="00EE2214">
              <w:rPr>
                <w:noProof/>
                <w:webHidden/>
              </w:rPr>
              <w:fldChar w:fldCharType="begin"/>
            </w:r>
            <w:r w:rsidR="00EE2214">
              <w:rPr>
                <w:noProof/>
                <w:webHidden/>
              </w:rPr>
              <w:instrText xml:space="preserve"> PAGEREF _Toc161319474 \h </w:instrText>
            </w:r>
            <w:r w:rsidR="00EE2214">
              <w:rPr>
                <w:noProof/>
                <w:webHidden/>
              </w:rPr>
            </w:r>
            <w:r w:rsidR="00EE2214">
              <w:rPr>
                <w:noProof/>
                <w:webHidden/>
              </w:rPr>
              <w:fldChar w:fldCharType="separate"/>
            </w:r>
            <w:r w:rsidR="00247165">
              <w:rPr>
                <w:noProof/>
                <w:webHidden/>
              </w:rPr>
              <w:t>47</w:t>
            </w:r>
            <w:r w:rsidR="00EE2214">
              <w:rPr>
                <w:noProof/>
                <w:webHidden/>
              </w:rPr>
              <w:fldChar w:fldCharType="end"/>
            </w:r>
          </w:hyperlink>
        </w:p>
        <w:p w14:paraId="58FA3DF6" w14:textId="0C67370A" w:rsidR="00EE2214" w:rsidRDefault="006F713F" w:rsidP="00247165">
          <w:pPr>
            <w:pStyle w:val="Sumrio1"/>
            <w:spacing w:after="0"/>
            <w:ind w:left="540" w:hanging="540"/>
            <w:rPr>
              <w:rFonts w:eastAsiaTheme="minorEastAsia" w:cstheme="minorBidi"/>
              <w:color w:val="auto"/>
              <w:sz w:val="22"/>
              <w:szCs w:val="22"/>
              <w:lang w:eastAsia="pt-BR"/>
            </w:rPr>
          </w:pPr>
          <w:hyperlink w:anchor="_Toc161319475" w:history="1">
            <w:r w:rsidR="00EE2214" w:rsidRPr="00A9707E">
              <w:rPr>
                <w:rStyle w:val="Hyperlink"/>
              </w:rPr>
              <w:t>9</w:t>
            </w:r>
            <w:r w:rsidR="00EE2214">
              <w:rPr>
                <w:rFonts w:eastAsiaTheme="minorEastAsia" w:cstheme="minorBidi"/>
                <w:color w:val="auto"/>
                <w:sz w:val="22"/>
                <w:szCs w:val="22"/>
                <w:lang w:eastAsia="pt-BR"/>
              </w:rPr>
              <w:tab/>
            </w:r>
            <w:r w:rsidR="00EE2214" w:rsidRPr="00A9707E">
              <w:rPr>
                <w:rStyle w:val="Hyperlink"/>
              </w:rPr>
              <w:t>Licitações e Contratos</w:t>
            </w:r>
            <w:r w:rsidR="00EE2214">
              <w:rPr>
                <w:webHidden/>
              </w:rPr>
              <w:tab/>
            </w:r>
            <w:r w:rsidR="00EE2214">
              <w:rPr>
                <w:webHidden/>
              </w:rPr>
              <w:fldChar w:fldCharType="begin"/>
            </w:r>
            <w:r w:rsidR="00EE2214">
              <w:rPr>
                <w:webHidden/>
              </w:rPr>
              <w:instrText xml:space="preserve"> PAGEREF _Toc161319475 \h </w:instrText>
            </w:r>
            <w:r w:rsidR="00EE2214">
              <w:rPr>
                <w:webHidden/>
              </w:rPr>
            </w:r>
            <w:r w:rsidR="00EE2214">
              <w:rPr>
                <w:webHidden/>
              </w:rPr>
              <w:fldChar w:fldCharType="separate"/>
            </w:r>
            <w:r w:rsidR="00247165">
              <w:rPr>
                <w:webHidden/>
              </w:rPr>
              <w:t>48</w:t>
            </w:r>
            <w:r w:rsidR="00EE2214">
              <w:rPr>
                <w:webHidden/>
              </w:rPr>
              <w:fldChar w:fldCharType="end"/>
            </w:r>
          </w:hyperlink>
        </w:p>
        <w:p w14:paraId="1327E4EE" w14:textId="04B2D6E0" w:rsidR="00EE2214" w:rsidRDefault="006F713F" w:rsidP="00247165">
          <w:pPr>
            <w:pStyle w:val="Sumrio1"/>
            <w:spacing w:after="0"/>
            <w:ind w:left="540" w:hanging="540"/>
            <w:rPr>
              <w:rFonts w:eastAsiaTheme="minorEastAsia" w:cstheme="minorBidi"/>
              <w:color w:val="auto"/>
              <w:sz w:val="22"/>
              <w:szCs w:val="22"/>
              <w:lang w:eastAsia="pt-BR"/>
            </w:rPr>
          </w:pPr>
          <w:hyperlink w:anchor="_Toc161319476" w:history="1">
            <w:r w:rsidR="00EE2214" w:rsidRPr="00A9707E">
              <w:rPr>
                <w:rStyle w:val="Hyperlink"/>
              </w:rPr>
              <w:t>10</w:t>
            </w:r>
            <w:r w:rsidR="00EE2214">
              <w:rPr>
                <w:rFonts w:eastAsiaTheme="minorEastAsia" w:cstheme="minorBidi"/>
                <w:color w:val="auto"/>
                <w:sz w:val="22"/>
                <w:szCs w:val="22"/>
                <w:lang w:eastAsia="pt-BR"/>
              </w:rPr>
              <w:tab/>
            </w:r>
            <w:r w:rsidR="00EE2214" w:rsidRPr="00A9707E">
              <w:rPr>
                <w:rStyle w:val="Hyperlink"/>
              </w:rPr>
              <w:t>Auditoria Externa</w:t>
            </w:r>
            <w:r w:rsidR="00EE2214">
              <w:rPr>
                <w:webHidden/>
              </w:rPr>
              <w:tab/>
            </w:r>
            <w:r w:rsidR="00EE2214">
              <w:rPr>
                <w:webHidden/>
              </w:rPr>
              <w:fldChar w:fldCharType="begin"/>
            </w:r>
            <w:r w:rsidR="00EE2214">
              <w:rPr>
                <w:webHidden/>
              </w:rPr>
              <w:instrText xml:space="preserve"> PAGEREF _Toc161319476 \h </w:instrText>
            </w:r>
            <w:r w:rsidR="00EE2214">
              <w:rPr>
                <w:webHidden/>
              </w:rPr>
            </w:r>
            <w:r w:rsidR="00EE2214">
              <w:rPr>
                <w:webHidden/>
              </w:rPr>
              <w:fldChar w:fldCharType="separate"/>
            </w:r>
            <w:r w:rsidR="00247165">
              <w:rPr>
                <w:webHidden/>
              </w:rPr>
              <w:t>49</w:t>
            </w:r>
            <w:r w:rsidR="00EE2214">
              <w:rPr>
                <w:webHidden/>
              </w:rPr>
              <w:fldChar w:fldCharType="end"/>
            </w:r>
          </w:hyperlink>
        </w:p>
        <w:p w14:paraId="7C863AC6" w14:textId="38B916AF" w:rsidR="00EE2214" w:rsidRDefault="006F713F" w:rsidP="00247165">
          <w:pPr>
            <w:pStyle w:val="Sumrio1"/>
            <w:spacing w:after="0"/>
            <w:ind w:left="540" w:hanging="540"/>
            <w:rPr>
              <w:rFonts w:eastAsiaTheme="minorEastAsia" w:cstheme="minorBidi"/>
              <w:color w:val="auto"/>
              <w:sz w:val="22"/>
              <w:szCs w:val="22"/>
              <w:lang w:eastAsia="pt-BR"/>
            </w:rPr>
          </w:pPr>
          <w:hyperlink w:anchor="_Toc161319477" w:history="1">
            <w:r w:rsidR="00EE2214" w:rsidRPr="00A9707E">
              <w:rPr>
                <w:rStyle w:val="Hyperlink"/>
              </w:rPr>
              <w:t>11</w:t>
            </w:r>
            <w:r w:rsidR="00EE2214">
              <w:rPr>
                <w:rFonts w:eastAsiaTheme="minorEastAsia" w:cstheme="minorBidi"/>
                <w:color w:val="auto"/>
                <w:sz w:val="22"/>
                <w:szCs w:val="22"/>
                <w:lang w:eastAsia="pt-BR"/>
              </w:rPr>
              <w:tab/>
            </w:r>
            <w:r w:rsidR="00EE2214" w:rsidRPr="00A9707E">
              <w:rPr>
                <w:rStyle w:val="Hyperlink"/>
              </w:rPr>
              <w:t>Declaração dos Diretores sobre os Relatórios de Auditoria e Demonstrações Contábeis</w:t>
            </w:r>
            <w:r w:rsidR="00EE2214">
              <w:rPr>
                <w:webHidden/>
              </w:rPr>
              <w:tab/>
            </w:r>
            <w:r w:rsidR="00EE2214">
              <w:rPr>
                <w:webHidden/>
              </w:rPr>
              <w:fldChar w:fldCharType="begin"/>
            </w:r>
            <w:r w:rsidR="00EE2214">
              <w:rPr>
                <w:webHidden/>
              </w:rPr>
              <w:instrText xml:space="preserve"> PAGEREF _Toc161319477 \h </w:instrText>
            </w:r>
            <w:r w:rsidR="00EE2214">
              <w:rPr>
                <w:webHidden/>
              </w:rPr>
            </w:r>
            <w:r w:rsidR="00EE2214">
              <w:rPr>
                <w:webHidden/>
              </w:rPr>
              <w:fldChar w:fldCharType="separate"/>
            </w:r>
            <w:r w:rsidR="00247165">
              <w:rPr>
                <w:webHidden/>
              </w:rPr>
              <w:t>50</w:t>
            </w:r>
            <w:r w:rsidR="00EE2214">
              <w:rPr>
                <w:webHidden/>
              </w:rPr>
              <w:fldChar w:fldCharType="end"/>
            </w:r>
          </w:hyperlink>
        </w:p>
        <w:p w14:paraId="6F5B65B0" w14:textId="0EDE0C0F" w:rsidR="00BF7753" w:rsidRPr="00CD2130" w:rsidRDefault="00DE2F9E" w:rsidP="00EE2214">
          <w:pPr>
            <w:spacing w:before="0" w:after="0" w:line="240" w:lineRule="auto"/>
            <w:rPr>
              <w:rFonts w:cs="Arial"/>
              <w:sz w:val="22"/>
              <w:szCs w:val="22"/>
            </w:rPr>
          </w:pPr>
          <w:r w:rsidRPr="00CD2130">
            <w:rPr>
              <w:rFonts w:cstheme="minorHAnsi"/>
              <w:noProof/>
              <w:sz w:val="22"/>
              <w:szCs w:val="22"/>
            </w:rPr>
            <w:fldChar w:fldCharType="end"/>
          </w:r>
        </w:p>
      </w:sdtContent>
    </w:sdt>
    <w:bookmarkStart w:id="0" w:name="_Toc125374505" w:displacedByCustomXml="prev"/>
    <w:bookmarkStart w:id="1" w:name="_Toc125374504" w:displacedByCustomXml="prev"/>
    <w:p w14:paraId="539F0750" w14:textId="77777777" w:rsidR="003C6A32" w:rsidRDefault="003C6A32" w:rsidP="00144C89">
      <w:pPr>
        <w:pStyle w:val="ndicedeilustraes"/>
        <w:tabs>
          <w:tab w:val="right" w:leader="dot" w:pos="9062"/>
        </w:tabs>
        <w:spacing w:before="120" w:after="0"/>
        <w:ind w:left="482" w:hanging="482"/>
        <w:rPr>
          <w:rFonts w:cstheme="minorHAnsi"/>
          <w:sz w:val="24"/>
        </w:rPr>
      </w:pPr>
    </w:p>
    <w:p w14:paraId="5BC15466" w14:textId="77777777" w:rsidR="003C6A32" w:rsidRDefault="00805567" w:rsidP="00144C89">
      <w:pPr>
        <w:pStyle w:val="Sumrio3"/>
        <w:rPr>
          <w:rFonts w:cstheme="minorHAnsi"/>
          <w:b/>
        </w:rPr>
      </w:pPr>
      <w:r w:rsidRPr="00144C89">
        <w:rPr>
          <w:rFonts w:cstheme="minorHAnsi"/>
          <w:b/>
        </w:rPr>
        <w:t>Lista de figuras</w:t>
      </w:r>
    </w:p>
    <w:p w14:paraId="599D6984" w14:textId="26063E12" w:rsidR="00F03CC4" w:rsidRPr="00087F48" w:rsidRDefault="00BF7753" w:rsidP="00087F48">
      <w:pPr>
        <w:pStyle w:val="Sumrio1"/>
        <w:spacing w:after="0"/>
        <w:rPr>
          <w:rStyle w:val="Hyperlink"/>
          <w:rFonts w:cstheme="minorHAnsi"/>
        </w:rPr>
      </w:pPr>
      <w:r w:rsidRPr="00144C89">
        <w:rPr>
          <w:rStyle w:val="Hyperlink"/>
          <w:rFonts w:cstheme="minorHAnsi"/>
        </w:rPr>
        <w:fldChar w:fldCharType="begin"/>
      </w:r>
      <w:r w:rsidRPr="00144C89">
        <w:rPr>
          <w:rStyle w:val="Hyperlink"/>
          <w:rFonts w:cstheme="minorHAnsi"/>
        </w:rPr>
        <w:instrText xml:space="preserve"> TOC \h \z \c "Gráfico" </w:instrText>
      </w:r>
      <w:r w:rsidRPr="00144C89">
        <w:rPr>
          <w:rStyle w:val="Hyperlink"/>
          <w:rFonts w:cstheme="minorHAnsi"/>
        </w:rPr>
        <w:fldChar w:fldCharType="end"/>
      </w:r>
      <w:r w:rsidRPr="00144C89">
        <w:rPr>
          <w:rStyle w:val="Hyperlink"/>
          <w:rFonts w:cstheme="minorHAnsi"/>
        </w:rPr>
        <w:fldChar w:fldCharType="begin"/>
      </w:r>
      <w:r w:rsidRPr="00144C89">
        <w:rPr>
          <w:rStyle w:val="Hyperlink"/>
          <w:rFonts w:cstheme="minorHAnsi"/>
        </w:rPr>
        <w:instrText xml:space="preserve"> TOC \h \z \c "Figura" </w:instrText>
      </w:r>
      <w:r w:rsidRPr="00144C89">
        <w:rPr>
          <w:rStyle w:val="Hyperlink"/>
          <w:rFonts w:cstheme="minorHAnsi"/>
        </w:rPr>
        <w:fldChar w:fldCharType="separate"/>
      </w:r>
      <w:hyperlink w:anchor="_Toc159258265" w:history="1">
        <w:r w:rsidR="00F03CC4" w:rsidRPr="00087F48">
          <w:rPr>
            <w:rStyle w:val="Hyperlink"/>
            <w:rFonts w:cstheme="minorHAnsi"/>
          </w:rPr>
          <w:t>Figura 5</w:t>
        </w:r>
        <w:r w:rsidR="00F03CC4" w:rsidRPr="00087F48">
          <w:rPr>
            <w:rStyle w:val="Hyperlink"/>
            <w:rFonts w:cstheme="minorHAnsi"/>
          </w:rPr>
          <w:noBreakHyphen/>
          <w:t>1 Pilares do Programa de Integridade</w:t>
        </w:r>
        <w:r w:rsidR="00F03CC4" w:rsidRPr="00087F48">
          <w:rPr>
            <w:rStyle w:val="Hyperlink"/>
            <w:rFonts w:cstheme="minorHAnsi"/>
            <w:webHidden/>
          </w:rPr>
          <w:tab/>
        </w:r>
        <w:r w:rsidR="00F03CC4" w:rsidRPr="00087F48">
          <w:rPr>
            <w:rStyle w:val="Hyperlink"/>
            <w:rFonts w:cstheme="minorHAnsi"/>
            <w:webHidden/>
          </w:rPr>
          <w:fldChar w:fldCharType="begin"/>
        </w:r>
        <w:r w:rsidR="00F03CC4" w:rsidRPr="00087F48">
          <w:rPr>
            <w:rStyle w:val="Hyperlink"/>
            <w:rFonts w:cstheme="minorHAnsi"/>
            <w:webHidden/>
          </w:rPr>
          <w:instrText xml:space="preserve"> PAGEREF _Toc159258265 \h </w:instrText>
        </w:r>
        <w:r w:rsidR="00F03CC4" w:rsidRPr="00087F48">
          <w:rPr>
            <w:rStyle w:val="Hyperlink"/>
            <w:rFonts w:cstheme="minorHAnsi"/>
            <w:webHidden/>
          </w:rPr>
        </w:r>
        <w:r w:rsidR="00F03CC4" w:rsidRPr="00087F48">
          <w:rPr>
            <w:rStyle w:val="Hyperlink"/>
            <w:rFonts w:cstheme="minorHAnsi"/>
            <w:webHidden/>
          </w:rPr>
          <w:fldChar w:fldCharType="separate"/>
        </w:r>
        <w:r w:rsidR="00247165">
          <w:rPr>
            <w:rStyle w:val="Hyperlink"/>
            <w:rFonts w:cstheme="minorHAnsi"/>
            <w:webHidden/>
          </w:rPr>
          <w:t>27</w:t>
        </w:r>
        <w:r w:rsidR="00F03CC4" w:rsidRPr="00087F48">
          <w:rPr>
            <w:rStyle w:val="Hyperlink"/>
            <w:rFonts w:cstheme="minorHAnsi"/>
            <w:webHidden/>
          </w:rPr>
          <w:fldChar w:fldCharType="end"/>
        </w:r>
      </w:hyperlink>
    </w:p>
    <w:p w14:paraId="06E5E25F" w14:textId="58881047" w:rsidR="00F03CC4" w:rsidRPr="00087F48" w:rsidRDefault="006F713F" w:rsidP="00087F48">
      <w:pPr>
        <w:pStyle w:val="Sumrio1"/>
        <w:spacing w:after="0"/>
        <w:rPr>
          <w:rStyle w:val="Hyperlink"/>
          <w:rFonts w:cstheme="minorHAnsi"/>
        </w:rPr>
      </w:pPr>
      <w:hyperlink w:anchor="_Toc159258266" w:history="1">
        <w:r w:rsidR="00F03CC4" w:rsidRPr="00087F48">
          <w:rPr>
            <w:rStyle w:val="Hyperlink"/>
            <w:rFonts w:cstheme="minorHAnsi"/>
          </w:rPr>
          <w:t>Figura 5</w:t>
        </w:r>
        <w:r w:rsidR="00F03CC4" w:rsidRPr="00087F48">
          <w:rPr>
            <w:rStyle w:val="Hyperlink"/>
            <w:rFonts w:cstheme="minorHAnsi"/>
          </w:rPr>
          <w:noBreakHyphen/>
          <w:t>2 Princípios de Atuação – ESG</w:t>
        </w:r>
        <w:r w:rsidR="00F03CC4" w:rsidRPr="00087F48">
          <w:rPr>
            <w:rStyle w:val="Hyperlink"/>
            <w:rFonts w:cstheme="minorHAnsi"/>
            <w:webHidden/>
          </w:rPr>
          <w:tab/>
        </w:r>
        <w:r w:rsidR="00F03CC4" w:rsidRPr="00087F48">
          <w:rPr>
            <w:rStyle w:val="Hyperlink"/>
            <w:rFonts w:cstheme="minorHAnsi"/>
            <w:webHidden/>
          </w:rPr>
          <w:fldChar w:fldCharType="begin"/>
        </w:r>
        <w:r w:rsidR="00F03CC4" w:rsidRPr="00087F48">
          <w:rPr>
            <w:rStyle w:val="Hyperlink"/>
            <w:rFonts w:cstheme="minorHAnsi"/>
            <w:webHidden/>
          </w:rPr>
          <w:instrText xml:space="preserve"> PAGEREF _Toc159258266 \h </w:instrText>
        </w:r>
        <w:r w:rsidR="00F03CC4" w:rsidRPr="00087F48">
          <w:rPr>
            <w:rStyle w:val="Hyperlink"/>
            <w:rFonts w:cstheme="minorHAnsi"/>
            <w:webHidden/>
          </w:rPr>
        </w:r>
        <w:r w:rsidR="00F03CC4" w:rsidRPr="00087F48">
          <w:rPr>
            <w:rStyle w:val="Hyperlink"/>
            <w:rFonts w:cstheme="minorHAnsi"/>
            <w:webHidden/>
          </w:rPr>
          <w:fldChar w:fldCharType="separate"/>
        </w:r>
        <w:r w:rsidR="00247165">
          <w:rPr>
            <w:rStyle w:val="Hyperlink"/>
            <w:rFonts w:cstheme="minorHAnsi"/>
            <w:webHidden/>
          </w:rPr>
          <w:t>28</w:t>
        </w:r>
        <w:r w:rsidR="00F03CC4" w:rsidRPr="00087F48">
          <w:rPr>
            <w:rStyle w:val="Hyperlink"/>
            <w:rFonts w:cstheme="minorHAnsi"/>
            <w:webHidden/>
          </w:rPr>
          <w:fldChar w:fldCharType="end"/>
        </w:r>
      </w:hyperlink>
    </w:p>
    <w:p w14:paraId="3C29FBD4" w14:textId="76E56887" w:rsidR="00F03CC4" w:rsidRPr="00087F48" w:rsidRDefault="006F713F" w:rsidP="00087F48">
      <w:pPr>
        <w:pStyle w:val="Sumrio1"/>
        <w:spacing w:after="0"/>
        <w:rPr>
          <w:rStyle w:val="Hyperlink"/>
          <w:rFonts w:cstheme="minorHAnsi"/>
        </w:rPr>
      </w:pPr>
      <w:hyperlink w:anchor="_Toc159258267" w:history="1">
        <w:r w:rsidR="00F03CC4" w:rsidRPr="00087F48">
          <w:rPr>
            <w:rStyle w:val="Hyperlink"/>
            <w:rFonts w:cstheme="minorHAnsi"/>
          </w:rPr>
          <w:t>Figura 5</w:t>
        </w:r>
        <w:r w:rsidR="00F03CC4" w:rsidRPr="00087F48">
          <w:rPr>
            <w:rStyle w:val="Hyperlink"/>
            <w:rFonts w:cstheme="minorHAnsi"/>
          </w:rPr>
          <w:noBreakHyphen/>
          <w:t>3 Organograma Societário</w:t>
        </w:r>
        <w:r w:rsidR="00F03CC4" w:rsidRPr="00087F48">
          <w:rPr>
            <w:rStyle w:val="Hyperlink"/>
            <w:rFonts w:cstheme="minorHAnsi"/>
            <w:webHidden/>
          </w:rPr>
          <w:tab/>
        </w:r>
        <w:r w:rsidR="00F03CC4" w:rsidRPr="00087F48">
          <w:rPr>
            <w:rStyle w:val="Hyperlink"/>
            <w:rFonts w:cstheme="minorHAnsi"/>
            <w:webHidden/>
          </w:rPr>
          <w:fldChar w:fldCharType="begin"/>
        </w:r>
        <w:r w:rsidR="00F03CC4" w:rsidRPr="00087F48">
          <w:rPr>
            <w:rStyle w:val="Hyperlink"/>
            <w:rFonts w:cstheme="minorHAnsi"/>
            <w:webHidden/>
          </w:rPr>
          <w:instrText xml:space="preserve"> PAGEREF _Toc159258267 \h </w:instrText>
        </w:r>
        <w:r w:rsidR="00F03CC4" w:rsidRPr="00087F48">
          <w:rPr>
            <w:rStyle w:val="Hyperlink"/>
            <w:rFonts w:cstheme="minorHAnsi"/>
            <w:webHidden/>
          </w:rPr>
        </w:r>
        <w:r w:rsidR="00F03CC4" w:rsidRPr="00087F48">
          <w:rPr>
            <w:rStyle w:val="Hyperlink"/>
            <w:rFonts w:cstheme="minorHAnsi"/>
            <w:webHidden/>
          </w:rPr>
          <w:fldChar w:fldCharType="separate"/>
        </w:r>
        <w:r w:rsidR="00247165">
          <w:rPr>
            <w:rStyle w:val="Hyperlink"/>
            <w:rFonts w:cstheme="minorHAnsi"/>
            <w:webHidden/>
          </w:rPr>
          <w:t>29</w:t>
        </w:r>
        <w:r w:rsidR="00F03CC4" w:rsidRPr="00087F48">
          <w:rPr>
            <w:rStyle w:val="Hyperlink"/>
            <w:rFonts w:cstheme="minorHAnsi"/>
            <w:webHidden/>
          </w:rPr>
          <w:fldChar w:fldCharType="end"/>
        </w:r>
      </w:hyperlink>
    </w:p>
    <w:p w14:paraId="31AEB907" w14:textId="59E80318" w:rsidR="00F03CC4" w:rsidRPr="00087F48" w:rsidRDefault="006F713F" w:rsidP="00087F48">
      <w:pPr>
        <w:pStyle w:val="Sumrio1"/>
        <w:spacing w:after="0"/>
        <w:rPr>
          <w:rStyle w:val="Hyperlink"/>
          <w:rFonts w:cstheme="minorHAnsi"/>
        </w:rPr>
      </w:pPr>
      <w:hyperlink w:anchor="_Toc159258268" w:history="1">
        <w:r w:rsidR="00F03CC4" w:rsidRPr="00087F48">
          <w:rPr>
            <w:rStyle w:val="Hyperlink"/>
            <w:rFonts w:cstheme="minorHAnsi"/>
          </w:rPr>
          <w:t>Figura 7</w:t>
        </w:r>
        <w:r w:rsidR="00F03CC4" w:rsidRPr="00087F48">
          <w:rPr>
            <w:rStyle w:val="Hyperlink"/>
            <w:rFonts w:cstheme="minorHAnsi"/>
          </w:rPr>
          <w:noBreakHyphen/>
          <w:t>1 Rede Nacional</w:t>
        </w:r>
        <w:r w:rsidR="00F03CC4" w:rsidRPr="00087F48">
          <w:rPr>
            <w:rStyle w:val="Hyperlink"/>
            <w:rFonts w:cstheme="minorHAnsi"/>
            <w:webHidden/>
          </w:rPr>
          <w:tab/>
        </w:r>
        <w:r w:rsidR="00F03CC4" w:rsidRPr="00087F48">
          <w:rPr>
            <w:rStyle w:val="Hyperlink"/>
            <w:rFonts w:cstheme="minorHAnsi"/>
            <w:webHidden/>
          </w:rPr>
          <w:fldChar w:fldCharType="begin"/>
        </w:r>
        <w:r w:rsidR="00F03CC4" w:rsidRPr="00087F48">
          <w:rPr>
            <w:rStyle w:val="Hyperlink"/>
            <w:rFonts w:cstheme="minorHAnsi"/>
            <w:webHidden/>
          </w:rPr>
          <w:instrText xml:space="preserve"> PAGEREF _Toc159258268 \h </w:instrText>
        </w:r>
        <w:r w:rsidR="00F03CC4" w:rsidRPr="00087F48">
          <w:rPr>
            <w:rStyle w:val="Hyperlink"/>
            <w:rFonts w:cstheme="minorHAnsi"/>
            <w:webHidden/>
          </w:rPr>
        </w:r>
        <w:r w:rsidR="00F03CC4" w:rsidRPr="00087F48">
          <w:rPr>
            <w:rStyle w:val="Hyperlink"/>
            <w:rFonts w:cstheme="minorHAnsi"/>
            <w:webHidden/>
          </w:rPr>
          <w:fldChar w:fldCharType="separate"/>
        </w:r>
        <w:r w:rsidR="00247165">
          <w:rPr>
            <w:rStyle w:val="Hyperlink"/>
            <w:rFonts w:cstheme="minorHAnsi"/>
            <w:webHidden/>
          </w:rPr>
          <w:t>38</w:t>
        </w:r>
        <w:r w:rsidR="00F03CC4" w:rsidRPr="00087F48">
          <w:rPr>
            <w:rStyle w:val="Hyperlink"/>
            <w:rFonts w:cstheme="minorHAnsi"/>
            <w:webHidden/>
          </w:rPr>
          <w:fldChar w:fldCharType="end"/>
        </w:r>
      </w:hyperlink>
    </w:p>
    <w:p w14:paraId="3B392580" w14:textId="048E8C88" w:rsidR="00CD2130" w:rsidRPr="00CD2130" w:rsidRDefault="00BF7753" w:rsidP="00144C89">
      <w:pPr>
        <w:pStyle w:val="Sumrio1"/>
        <w:spacing w:after="0"/>
        <w:rPr>
          <w:rFonts w:cstheme="minorHAnsi"/>
          <w:sz w:val="22"/>
          <w:szCs w:val="22"/>
        </w:rPr>
      </w:pPr>
      <w:r w:rsidRPr="00144C89">
        <w:rPr>
          <w:rStyle w:val="Hyperlink"/>
          <w:rFonts w:cstheme="minorHAnsi"/>
        </w:rPr>
        <w:fldChar w:fldCharType="end"/>
      </w:r>
    </w:p>
    <w:p w14:paraId="75BDEDEB" w14:textId="04223558" w:rsidR="00ED662B" w:rsidRPr="00CD2130" w:rsidRDefault="00623C59" w:rsidP="00144C89">
      <w:pPr>
        <w:pStyle w:val="ndicedeilustraes"/>
        <w:tabs>
          <w:tab w:val="right" w:leader="dot" w:pos="9062"/>
        </w:tabs>
        <w:spacing w:before="120" w:after="0"/>
        <w:rPr>
          <w:rFonts w:cstheme="minorHAnsi"/>
          <w:b/>
          <w:sz w:val="24"/>
        </w:rPr>
      </w:pPr>
      <w:r w:rsidRPr="00CD2130">
        <w:rPr>
          <w:rFonts w:cstheme="minorHAnsi"/>
          <w:b/>
          <w:sz w:val="24"/>
        </w:rPr>
        <w:t>Lista de tabelas</w:t>
      </w:r>
    </w:p>
    <w:p w14:paraId="076BE750" w14:textId="3FC3175C" w:rsidR="00247165" w:rsidRPr="00247165" w:rsidRDefault="000A7279" w:rsidP="00247165">
      <w:pPr>
        <w:pStyle w:val="Sumrio1"/>
        <w:spacing w:after="0"/>
        <w:rPr>
          <w:rStyle w:val="Hyperlink"/>
          <w:rFonts w:cstheme="minorHAnsi"/>
        </w:rPr>
      </w:pPr>
      <w:r w:rsidRPr="00144C89">
        <w:rPr>
          <w:rStyle w:val="Hyperlink"/>
          <w:rFonts w:cstheme="minorHAnsi"/>
        </w:rPr>
        <w:fldChar w:fldCharType="begin"/>
      </w:r>
      <w:r w:rsidRPr="00247165">
        <w:rPr>
          <w:rStyle w:val="Hyperlink"/>
          <w:rFonts w:cstheme="minorHAnsi"/>
        </w:rPr>
        <w:instrText xml:space="preserve"> TOC \h \z \c "Tabela" </w:instrText>
      </w:r>
      <w:r w:rsidRPr="00144C89">
        <w:rPr>
          <w:rStyle w:val="Hyperlink"/>
          <w:rFonts w:cstheme="minorHAnsi"/>
        </w:rPr>
        <w:fldChar w:fldCharType="separate"/>
      </w:r>
      <w:hyperlink w:anchor="_Toc161319860" w:history="1">
        <w:r w:rsidR="00247165" w:rsidRPr="00247165">
          <w:rPr>
            <w:rStyle w:val="Hyperlink"/>
            <w:rFonts w:cstheme="minorHAnsi"/>
          </w:rPr>
          <w:t>Tabela 3</w:t>
        </w:r>
        <w:r w:rsidR="00247165" w:rsidRPr="00247165">
          <w:rPr>
            <w:rStyle w:val="Hyperlink"/>
            <w:rFonts w:cstheme="minorHAnsi"/>
          </w:rPr>
          <w:noBreakHyphen/>
          <w:t>1 Receita Prevista x Arrecadada</w:t>
        </w:r>
        <w:r w:rsidR="00247165" w:rsidRPr="00247165">
          <w:rPr>
            <w:rStyle w:val="Hyperlink"/>
            <w:rFonts w:cstheme="minorHAnsi"/>
            <w:webHidden/>
          </w:rPr>
          <w:tab/>
        </w:r>
        <w:r w:rsidR="00247165" w:rsidRPr="00247165">
          <w:rPr>
            <w:rStyle w:val="Hyperlink"/>
            <w:rFonts w:cstheme="minorHAnsi"/>
            <w:webHidden/>
          </w:rPr>
          <w:fldChar w:fldCharType="begin"/>
        </w:r>
        <w:r w:rsidR="00247165" w:rsidRPr="00247165">
          <w:rPr>
            <w:rStyle w:val="Hyperlink"/>
            <w:rFonts w:cstheme="minorHAnsi"/>
            <w:webHidden/>
          </w:rPr>
          <w:instrText xml:space="preserve"> PAGEREF _Toc161319860 \h </w:instrText>
        </w:r>
        <w:r w:rsidR="00247165" w:rsidRPr="00247165">
          <w:rPr>
            <w:rStyle w:val="Hyperlink"/>
            <w:rFonts w:cstheme="minorHAnsi"/>
            <w:webHidden/>
          </w:rPr>
        </w:r>
        <w:r w:rsidR="00247165" w:rsidRPr="00247165">
          <w:rPr>
            <w:rStyle w:val="Hyperlink"/>
            <w:rFonts w:cstheme="minorHAnsi"/>
            <w:webHidden/>
          </w:rPr>
          <w:fldChar w:fldCharType="separate"/>
        </w:r>
        <w:r w:rsidR="00247165">
          <w:rPr>
            <w:rStyle w:val="Hyperlink"/>
            <w:rFonts w:cstheme="minorHAnsi"/>
            <w:webHidden/>
          </w:rPr>
          <w:t>19</w:t>
        </w:r>
        <w:r w:rsidR="00247165" w:rsidRPr="00247165">
          <w:rPr>
            <w:rStyle w:val="Hyperlink"/>
            <w:rFonts w:cstheme="minorHAnsi"/>
            <w:webHidden/>
          </w:rPr>
          <w:fldChar w:fldCharType="end"/>
        </w:r>
      </w:hyperlink>
    </w:p>
    <w:p w14:paraId="51958A4E" w14:textId="281E4D86" w:rsidR="00247165" w:rsidRPr="00247165" w:rsidRDefault="006F713F" w:rsidP="00247165">
      <w:pPr>
        <w:pStyle w:val="Sumrio1"/>
        <w:spacing w:after="0"/>
        <w:rPr>
          <w:rStyle w:val="Hyperlink"/>
          <w:rFonts w:cstheme="minorHAnsi"/>
        </w:rPr>
      </w:pPr>
      <w:hyperlink w:anchor="_Toc161319861" w:history="1">
        <w:r w:rsidR="00247165" w:rsidRPr="00247165">
          <w:rPr>
            <w:rStyle w:val="Hyperlink"/>
            <w:rFonts w:cstheme="minorHAnsi"/>
          </w:rPr>
          <w:t>Tabela 3</w:t>
        </w:r>
        <w:r w:rsidR="00247165" w:rsidRPr="00247165">
          <w:rPr>
            <w:rStyle w:val="Hyperlink"/>
            <w:rFonts w:cstheme="minorHAnsi"/>
          </w:rPr>
          <w:noBreakHyphen/>
          <w:t>2 Execução da Despesa por Categoria Econômica</w:t>
        </w:r>
        <w:r w:rsidR="00247165" w:rsidRPr="00247165">
          <w:rPr>
            <w:rStyle w:val="Hyperlink"/>
            <w:rFonts w:cstheme="minorHAnsi"/>
            <w:webHidden/>
          </w:rPr>
          <w:tab/>
        </w:r>
        <w:r w:rsidR="00247165" w:rsidRPr="00247165">
          <w:rPr>
            <w:rStyle w:val="Hyperlink"/>
            <w:rFonts w:cstheme="minorHAnsi"/>
            <w:webHidden/>
          </w:rPr>
          <w:fldChar w:fldCharType="begin"/>
        </w:r>
        <w:r w:rsidR="00247165" w:rsidRPr="00247165">
          <w:rPr>
            <w:rStyle w:val="Hyperlink"/>
            <w:rFonts w:cstheme="minorHAnsi"/>
            <w:webHidden/>
          </w:rPr>
          <w:instrText xml:space="preserve"> PAGEREF _Toc161319861 \h </w:instrText>
        </w:r>
        <w:r w:rsidR="00247165" w:rsidRPr="00247165">
          <w:rPr>
            <w:rStyle w:val="Hyperlink"/>
            <w:rFonts w:cstheme="minorHAnsi"/>
            <w:webHidden/>
          </w:rPr>
        </w:r>
        <w:r w:rsidR="00247165" w:rsidRPr="00247165">
          <w:rPr>
            <w:rStyle w:val="Hyperlink"/>
            <w:rFonts w:cstheme="minorHAnsi"/>
            <w:webHidden/>
          </w:rPr>
          <w:fldChar w:fldCharType="separate"/>
        </w:r>
        <w:r w:rsidR="00247165">
          <w:rPr>
            <w:rStyle w:val="Hyperlink"/>
            <w:rFonts w:cstheme="minorHAnsi"/>
            <w:webHidden/>
          </w:rPr>
          <w:t>19</w:t>
        </w:r>
        <w:r w:rsidR="00247165" w:rsidRPr="00247165">
          <w:rPr>
            <w:rStyle w:val="Hyperlink"/>
            <w:rFonts w:cstheme="minorHAnsi"/>
            <w:webHidden/>
          </w:rPr>
          <w:fldChar w:fldCharType="end"/>
        </w:r>
      </w:hyperlink>
    </w:p>
    <w:p w14:paraId="70E7AC8C" w14:textId="2876A8DD" w:rsidR="00247165" w:rsidRPr="00247165" w:rsidRDefault="006F713F" w:rsidP="00247165">
      <w:pPr>
        <w:pStyle w:val="Sumrio1"/>
        <w:spacing w:after="0"/>
        <w:rPr>
          <w:rStyle w:val="Hyperlink"/>
          <w:rFonts w:cstheme="minorHAnsi"/>
        </w:rPr>
      </w:pPr>
      <w:hyperlink w:anchor="_Toc161319862" w:history="1">
        <w:r w:rsidR="00247165" w:rsidRPr="00247165">
          <w:rPr>
            <w:rStyle w:val="Hyperlink"/>
            <w:rFonts w:cstheme="minorHAnsi"/>
          </w:rPr>
          <w:t>Tabela 3</w:t>
        </w:r>
        <w:r w:rsidR="00247165" w:rsidRPr="00247165">
          <w:rPr>
            <w:rStyle w:val="Hyperlink"/>
            <w:rFonts w:cstheme="minorHAnsi"/>
          </w:rPr>
          <w:noBreakHyphen/>
          <w:t>3 Ações Orçamentárias de 2023</w:t>
        </w:r>
        <w:r w:rsidR="00247165" w:rsidRPr="00247165">
          <w:rPr>
            <w:rStyle w:val="Hyperlink"/>
            <w:rFonts w:cstheme="minorHAnsi"/>
            <w:webHidden/>
          </w:rPr>
          <w:tab/>
        </w:r>
        <w:r w:rsidR="00247165" w:rsidRPr="00247165">
          <w:rPr>
            <w:rStyle w:val="Hyperlink"/>
            <w:rFonts w:cstheme="minorHAnsi"/>
            <w:webHidden/>
          </w:rPr>
          <w:fldChar w:fldCharType="begin"/>
        </w:r>
        <w:r w:rsidR="00247165" w:rsidRPr="00247165">
          <w:rPr>
            <w:rStyle w:val="Hyperlink"/>
            <w:rFonts w:cstheme="minorHAnsi"/>
            <w:webHidden/>
          </w:rPr>
          <w:instrText xml:space="preserve"> PAGEREF _Toc161319862 \h </w:instrText>
        </w:r>
        <w:r w:rsidR="00247165" w:rsidRPr="00247165">
          <w:rPr>
            <w:rStyle w:val="Hyperlink"/>
            <w:rFonts w:cstheme="minorHAnsi"/>
            <w:webHidden/>
          </w:rPr>
        </w:r>
        <w:r w:rsidR="00247165" w:rsidRPr="00247165">
          <w:rPr>
            <w:rStyle w:val="Hyperlink"/>
            <w:rFonts w:cstheme="minorHAnsi"/>
            <w:webHidden/>
          </w:rPr>
          <w:fldChar w:fldCharType="separate"/>
        </w:r>
        <w:r w:rsidR="00247165">
          <w:rPr>
            <w:rStyle w:val="Hyperlink"/>
            <w:rFonts w:cstheme="minorHAnsi"/>
            <w:webHidden/>
          </w:rPr>
          <w:t>20</w:t>
        </w:r>
        <w:r w:rsidR="00247165" w:rsidRPr="00247165">
          <w:rPr>
            <w:rStyle w:val="Hyperlink"/>
            <w:rFonts w:cstheme="minorHAnsi"/>
            <w:webHidden/>
          </w:rPr>
          <w:fldChar w:fldCharType="end"/>
        </w:r>
      </w:hyperlink>
    </w:p>
    <w:p w14:paraId="02D36B60" w14:textId="03A44A5D" w:rsidR="00247165" w:rsidRPr="00247165" w:rsidRDefault="006F713F" w:rsidP="00247165">
      <w:pPr>
        <w:pStyle w:val="Sumrio1"/>
        <w:spacing w:after="0"/>
        <w:rPr>
          <w:rStyle w:val="Hyperlink"/>
          <w:rFonts w:cstheme="minorHAnsi"/>
        </w:rPr>
      </w:pPr>
      <w:hyperlink w:anchor="_Toc161319863" w:history="1">
        <w:r w:rsidR="00247165" w:rsidRPr="00247165">
          <w:rPr>
            <w:rStyle w:val="Hyperlink"/>
            <w:rFonts w:cstheme="minorHAnsi"/>
          </w:rPr>
          <w:t>Tabela 3</w:t>
        </w:r>
        <w:r w:rsidR="00247165" w:rsidRPr="00247165">
          <w:rPr>
            <w:rStyle w:val="Hyperlink"/>
            <w:rFonts w:cstheme="minorHAnsi"/>
          </w:rPr>
          <w:noBreakHyphen/>
          <w:t>4 Execução dos Restos a Pagar</w:t>
        </w:r>
        <w:r w:rsidR="00247165" w:rsidRPr="00247165">
          <w:rPr>
            <w:rStyle w:val="Hyperlink"/>
            <w:rFonts w:cstheme="minorHAnsi"/>
            <w:webHidden/>
          </w:rPr>
          <w:tab/>
        </w:r>
        <w:r w:rsidR="00247165" w:rsidRPr="00247165">
          <w:rPr>
            <w:rStyle w:val="Hyperlink"/>
            <w:rFonts w:cstheme="minorHAnsi"/>
            <w:webHidden/>
          </w:rPr>
          <w:fldChar w:fldCharType="begin"/>
        </w:r>
        <w:r w:rsidR="00247165" w:rsidRPr="00247165">
          <w:rPr>
            <w:rStyle w:val="Hyperlink"/>
            <w:rFonts w:cstheme="minorHAnsi"/>
            <w:webHidden/>
          </w:rPr>
          <w:instrText xml:space="preserve"> PAGEREF _Toc161319863 \h </w:instrText>
        </w:r>
        <w:r w:rsidR="00247165" w:rsidRPr="00247165">
          <w:rPr>
            <w:rStyle w:val="Hyperlink"/>
            <w:rFonts w:cstheme="minorHAnsi"/>
            <w:webHidden/>
          </w:rPr>
        </w:r>
        <w:r w:rsidR="00247165" w:rsidRPr="00247165">
          <w:rPr>
            <w:rStyle w:val="Hyperlink"/>
            <w:rFonts w:cstheme="minorHAnsi"/>
            <w:webHidden/>
          </w:rPr>
          <w:fldChar w:fldCharType="separate"/>
        </w:r>
        <w:r w:rsidR="00247165">
          <w:rPr>
            <w:rStyle w:val="Hyperlink"/>
            <w:rFonts w:cstheme="minorHAnsi"/>
            <w:webHidden/>
          </w:rPr>
          <w:t>22</w:t>
        </w:r>
        <w:r w:rsidR="00247165" w:rsidRPr="00247165">
          <w:rPr>
            <w:rStyle w:val="Hyperlink"/>
            <w:rFonts w:cstheme="minorHAnsi"/>
            <w:webHidden/>
          </w:rPr>
          <w:fldChar w:fldCharType="end"/>
        </w:r>
      </w:hyperlink>
    </w:p>
    <w:p w14:paraId="03CB06BD" w14:textId="43AA779E" w:rsidR="00247165" w:rsidRPr="00247165" w:rsidRDefault="006F713F" w:rsidP="00247165">
      <w:pPr>
        <w:pStyle w:val="Sumrio1"/>
        <w:spacing w:after="0"/>
        <w:rPr>
          <w:rStyle w:val="Hyperlink"/>
          <w:rFonts w:cstheme="minorHAnsi"/>
        </w:rPr>
      </w:pPr>
      <w:hyperlink w:anchor="_Toc161319864" w:history="1">
        <w:r w:rsidR="00247165" w:rsidRPr="00247165">
          <w:rPr>
            <w:rStyle w:val="Hyperlink"/>
            <w:rFonts w:cstheme="minorHAnsi"/>
          </w:rPr>
          <w:t>Tabela 3-5 Execução de Pagamentos</w:t>
        </w:r>
        <w:r w:rsidR="00247165" w:rsidRPr="00247165">
          <w:rPr>
            <w:rStyle w:val="Hyperlink"/>
            <w:rFonts w:cstheme="minorHAnsi"/>
            <w:webHidden/>
          </w:rPr>
          <w:tab/>
        </w:r>
        <w:r w:rsidR="00247165" w:rsidRPr="00247165">
          <w:rPr>
            <w:rStyle w:val="Hyperlink"/>
            <w:rFonts w:cstheme="minorHAnsi"/>
            <w:webHidden/>
          </w:rPr>
          <w:fldChar w:fldCharType="begin"/>
        </w:r>
        <w:r w:rsidR="00247165" w:rsidRPr="00247165">
          <w:rPr>
            <w:rStyle w:val="Hyperlink"/>
            <w:rFonts w:cstheme="minorHAnsi"/>
            <w:webHidden/>
          </w:rPr>
          <w:instrText xml:space="preserve"> PAGEREF _Toc161319864 \h </w:instrText>
        </w:r>
        <w:r w:rsidR="00247165" w:rsidRPr="00247165">
          <w:rPr>
            <w:rStyle w:val="Hyperlink"/>
            <w:rFonts w:cstheme="minorHAnsi"/>
            <w:webHidden/>
          </w:rPr>
        </w:r>
        <w:r w:rsidR="00247165" w:rsidRPr="00247165">
          <w:rPr>
            <w:rStyle w:val="Hyperlink"/>
            <w:rFonts w:cstheme="minorHAnsi"/>
            <w:webHidden/>
          </w:rPr>
          <w:fldChar w:fldCharType="separate"/>
        </w:r>
        <w:r w:rsidR="00247165">
          <w:rPr>
            <w:rStyle w:val="Hyperlink"/>
            <w:rFonts w:cstheme="minorHAnsi"/>
            <w:webHidden/>
          </w:rPr>
          <w:t>23</w:t>
        </w:r>
        <w:r w:rsidR="00247165" w:rsidRPr="00247165">
          <w:rPr>
            <w:rStyle w:val="Hyperlink"/>
            <w:rFonts w:cstheme="minorHAnsi"/>
            <w:webHidden/>
          </w:rPr>
          <w:fldChar w:fldCharType="end"/>
        </w:r>
      </w:hyperlink>
    </w:p>
    <w:p w14:paraId="1ECE315E" w14:textId="25EC7D49" w:rsidR="00247165" w:rsidRPr="00247165" w:rsidRDefault="006F713F" w:rsidP="00247165">
      <w:pPr>
        <w:pStyle w:val="Sumrio1"/>
        <w:spacing w:after="0"/>
        <w:rPr>
          <w:rStyle w:val="Hyperlink"/>
          <w:rFonts w:cstheme="minorHAnsi"/>
        </w:rPr>
      </w:pPr>
      <w:hyperlink w:anchor="_Toc161319865" w:history="1">
        <w:r w:rsidR="00247165" w:rsidRPr="00247165">
          <w:rPr>
            <w:rStyle w:val="Hyperlink"/>
            <w:rFonts w:cstheme="minorHAnsi"/>
          </w:rPr>
          <w:t>Tabela 5</w:t>
        </w:r>
        <w:r w:rsidR="00247165" w:rsidRPr="00247165">
          <w:rPr>
            <w:rStyle w:val="Hyperlink"/>
            <w:rFonts w:cstheme="minorHAnsi"/>
          </w:rPr>
          <w:noBreakHyphen/>
          <w:t>1 Principais Investidores</w:t>
        </w:r>
        <w:r w:rsidR="00247165" w:rsidRPr="00247165">
          <w:rPr>
            <w:rStyle w:val="Hyperlink"/>
            <w:rFonts w:cstheme="minorHAnsi"/>
            <w:webHidden/>
          </w:rPr>
          <w:tab/>
        </w:r>
        <w:r w:rsidR="00247165" w:rsidRPr="00247165">
          <w:rPr>
            <w:rStyle w:val="Hyperlink"/>
            <w:rFonts w:cstheme="minorHAnsi"/>
            <w:webHidden/>
          </w:rPr>
          <w:fldChar w:fldCharType="begin"/>
        </w:r>
        <w:r w:rsidR="00247165" w:rsidRPr="00247165">
          <w:rPr>
            <w:rStyle w:val="Hyperlink"/>
            <w:rFonts w:cstheme="minorHAnsi"/>
            <w:webHidden/>
          </w:rPr>
          <w:instrText xml:space="preserve"> PAGEREF _Toc161319865 \h </w:instrText>
        </w:r>
        <w:r w:rsidR="00247165" w:rsidRPr="00247165">
          <w:rPr>
            <w:rStyle w:val="Hyperlink"/>
            <w:rFonts w:cstheme="minorHAnsi"/>
            <w:webHidden/>
          </w:rPr>
        </w:r>
        <w:r w:rsidR="00247165" w:rsidRPr="00247165">
          <w:rPr>
            <w:rStyle w:val="Hyperlink"/>
            <w:rFonts w:cstheme="minorHAnsi"/>
            <w:webHidden/>
          </w:rPr>
          <w:fldChar w:fldCharType="separate"/>
        </w:r>
        <w:r w:rsidR="00247165">
          <w:rPr>
            <w:rStyle w:val="Hyperlink"/>
            <w:rFonts w:cstheme="minorHAnsi"/>
            <w:webHidden/>
          </w:rPr>
          <w:t>29</w:t>
        </w:r>
        <w:r w:rsidR="00247165" w:rsidRPr="00247165">
          <w:rPr>
            <w:rStyle w:val="Hyperlink"/>
            <w:rFonts w:cstheme="minorHAnsi"/>
            <w:webHidden/>
          </w:rPr>
          <w:fldChar w:fldCharType="end"/>
        </w:r>
      </w:hyperlink>
    </w:p>
    <w:p w14:paraId="6748B02A" w14:textId="17E3D973" w:rsidR="00247165" w:rsidRPr="00247165" w:rsidRDefault="006F713F" w:rsidP="00247165">
      <w:pPr>
        <w:pStyle w:val="Sumrio1"/>
        <w:spacing w:after="0"/>
        <w:rPr>
          <w:rStyle w:val="Hyperlink"/>
          <w:rFonts w:cstheme="minorHAnsi"/>
        </w:rPr>
      </w:pPr>
      <w:hyperlink w:anchor="_Toc161319866" w:history="1">
        <w:r w:rsidR="00247165" w:rsidRPr="00247165">
          <w:rPr>
            <w:rStyle w:val="Hyperlink"/>
            <w:rFonts w:cstheme="minorHAnsi"/>
          </w:rPr>
          <w:t>Tabela 6</w:t>
        </w:r>
        <w:r w:rsidR="00247165" w:rsidRPr="00247165">
          <w:rPr>
            <w:rStyle w:val="Hyperlink"/>
            <w:rFonts w:cstheme="minorHAnsi"/>
          </w:rPr>
          <w:noBreakHyphen/>
          <w:t>1 Mercado de Banda Larga por Satélite</w:t>
        </w:r>
        <w:r w:rsidR="00247165" w:rsidRPr="00247165">
          <w:rPr>
            <w:rStyle w:val="Hyperlink"/>
            <w:rFonts w:cstheme="minorHAnsi"/>
            <w:webHidden/>
          </w:rPr>
          <w:tab/>
        </w:r>
        <w:r w:rsidR="00247165" w:rsidRPr="00247165">
          <w:rPr>
            <w:rStyle w:val="Hyperlink"/>
            <w:rFonts w:cstheme="minorHAnsi"/>
            <w:webHidden/>
          </w:rPr>
          <w:fldChar w:fldCharType="begin"/>
        </w:r>
        <w:r w:rsidR="00247165" w:rsidRPr="00247165">
          <w:rPr>
            <w:rStyle w:val="Hyperlink"/>
            <w:rFonts w:cstheme="minorHAnsi"/>
            <w:webHidden/>
          </w:rPr>
          <w:instrText xml:space="preserve"> PAGEREF _Toc161319866 \h </w:instrText>
        </w:r>
        <w:r w:rsidR="00247165" w:rsidRPr="00247165">
          <w:rPr>
            <w:rStyle w:val="Hyperlink"/>
            <w:rFonts w:cstheme="minorHAnsi"/>
            <w:webHidden/>
          </w:rPr>
        </w:r>
        <w:r w:rsidR="00247165" w:rsidRPr="00247165">
          <w:rPr>
            <w:rStyle w:val="Hyperlink"/>
            <w:rFonts w:cstheme="minorHAnsi"/>
            <w:webHidden/>
          </w:rPr>
          <w:fldChar w:fldCharType="separate"/>
        </w:r>
        <w:r w:rsidR="00247165">
          <w:rPr>
            <w:rStyle w:val="Hyperlink"/>
            <w:rFonts w:cstheme="minorHAnsi"/>
            <w:webHidden/>
          </w:rPr>
          <w:t>35</w:t>
        </w:r>
        <w:r w:rsidR="00247165" w:rsidRPr="00247165">
          <w:rPr>
            <w:rStyle w:val="Hyperlink"/>
            <w:rFonts w:cstheme="minorHAnsi"/>
            <w:webHidden/>
          </w:rPr>
          <w:fldChar w:fldCharType="end"/>
        </w:r>
      </w:hyperlink>
    </w:p>
    <w:p w14:paraId="6A9B21B8" w14:textId="465CC55B" w:rsidR="00247165" w:rsidRPr="00247165" w:rsidRDefault="006F713F" w:rsidP="00247165">
      <w:pPr>
        <w:pStyle w:val="Sumrio1"/>
        <w:spacing w:after="0"/>
        <w:rPr>
          <w:rStyle w:val="Hyperlink"/>
          <w:rFonts w:cstheme="minorHAnsi"/>
        </w:rPr>
      </w:pPr>
      <w:hyperlink w:anchor="_Toc161319867" w:history="1">
        <w:r w:rsidR="00247165" w:rsidRPr="00247165">
          <w:rPr>
            <w:rStyle w:val="Hyperlink"/>
            <w:rFonts w:cstheme="minorHAnsi"/>
          </w:rPr>
          <w:t>Tabela 8</w:t>
        </w:r>
        <w:r w:rsidR="00247165" w:rsidRPr="00247165">
          <w:rPr>
            <w:rStyle w:val="Hyperlink"/>
            <w:rFonts w:cstheme="minorHAnsi"/>
          </w:rPr>
          <w:noBreakHyphen/>
          <w:t>1 Comparativo do quadro de empregados por exercício – 2023/2022</w:t>
        </w:r>
        <w:r w:rsidR="00247165" w:rsidRPr="00247165">
          <w:rPr>
            <w:rStyle w:val="Hyperlink"/>
            <w:rFonts w:cstheme="minorHAnsi"/>
            <w:webHidden/>
          </w:rPr>
          <w:tab/>
        </w:r>
        <w:r w:rsidR="00247165" w:rsidRPr="00247165">
          <w:rPr>
            <w:rStyle w:val="Hyperlink"/>
            <w:rFonts w:cstheme="minorHAnsi"/>
            <w:webHidden/>
          </w:rPr>
          <w:fldChar w:fldCharType="begin"/>
        </w:r>
        <w:r w:rsidR="00247165" w:rsidRPr="00247165">
          <w:rPr>
            <w:rStyle w:val="Hyperlink"/>
            <w:rFonts w:cstheme="minorHAnsi"/>
            <w:webHidden/>
          </w:rPr>
          <w:instrText xml:space="preserve"> PAGEREF _Toc161319867 \h </w:instrText>
        </w:r>
        <w:r w:rsidR="00247165" w:rsidRPr="00247165">
          <w:rPr>
            <w:rStyle w:val="Hyperlink"/>
            <w:rFonts w:cstheme="minorHAnsi"/>
            <w:webHidden/>
          </w:rPr>
        </w:r>
        <w:r w:rsidR="00247165" w:rsidRPr="00247165">
          <w:rPr>
            <w:rStyle w:val="Hyperlink"/>
            <w:rFonts w:cstheme="minorHAnsi"/>
            <w:webHidden/>
          </w:rPr>
          <w:fldChar w:fldCharType="separate"/>
        </w:r>
        <w:r w:rsidR="00247165">
          <w:rPr>
            <w:rStyle w:val="Hyperlink"/>
            <w:rFonts w:cstheme="minorHAnsi"/>
            <w:webHidden/>
          </w:rPr>
          <w:t>45</w:t>
        </w:r>
        <w:r w:rsidR="00247165" w:rsidRPr="00247165">
          <w:rPr>
            <w:rStyle w:val="Hyperlink"/>
            <w:rFonts w:cstheme="minorHAnsi"/>
            <w:webHidden/>
          </w:rPr>
          <w:fldChar w:fldCharType="end"/>
        </w:r>
      </w:hyperlink>
    </w:p>
    <w:p w14:paraId="5C698BEC" w14:textId="17CED5A1" w:rsidR="00247165" w:rsidRPr="00247165" w:rsidRDefault="006F713F" w:rsidP="00247165">
      <w:pPr>
        <w:pStyle w:val="Sumrio1"/>
        <w:spacing w:after="0"/>
        <w:rPr>
          <w:rStyle w:val="Hyperlink"/>
          <w:rFonts w:cstheme="minorHAnsi"/>
        </w:rPr>
      </w:pPr>
      <w:hyperlink w:anchor="_Toc161319868" w:history="1">
        <w:r w:rsidR="00247165" w:rsidRPr="00247165">
          <w:rPr>
            <w:rStyle w:val="Hyperlink"/>
            <w:rFonts w:cstheme="minorHAnsi"/>
          </w:rPr>
          <w:t>Tabela 9</w:t>
        </w:r>
        <w:r w:rsidR="00247165" w:rsidRPr="00247165">
          <w:rPr>
            <w:rStyle w:val="Hyperlink"/>
            <w:rFonts w:cstheme="minorHAnsi"/>
          </w:rPr>
          <w:noBreakHyphen/>
          <w:t>1 Contratos de aquisição e serviços por modalidade de licitação</w:t>
        </w:r>
        <w:r w:rsidR="00247165" w:rsidRPr="00247165">
          <w:rPr>
            <w:rStyle w:val="Hyperlink"/>
            <w:rFonts w:cstheme="minorHAnsi"/>
            <w:webHidden/>
          </w:rPr>
          <w:tab/>
        </w:r>
        <w:r w:rsidR="00247165" w:rsidRPr="00247165">
          <w:rPr>
            <w:rStyle w:val="Hyperlink"/>
            <w:rFonts w:cstheme="minorHAnsi"/>
            <w:webHidden/>
          </w:rPr>
          <w:fldChar w:fldCharType="begin"/>
        </w:r>
        <w:r w:rsidR="00247165" w:rsidRPr="00247165">
          <w:rPr>
            <w:rStyle w:val="Hyperlink"/>
            <w:rFonts w:cstheme="minorHAnsi"/>
            <w:webHidden/>
          </w:rPr>
          <w:instrText xml:space="preserve"> PAGEREF _Toc161319868 \h </w:instrText>
        </w:r>
        <w:r w:rsidR="00247165" w:rsidRPr="00247165">
          <w:rPr>
            <w:rStyle w:val="Hyperlink"/>
            <w:rFonts w:cstheme="minorHAnsi"/>
            <w:webHidden/>
          </w:rPr>
        </w:r>
        <w:r w:rsidR="00247165" w:rsidRPr="00247165">
          <w:rPr>
            <w:rStyle w:val="Hyperlink"/>
            <w:rFonts w:cstheme="minorHAnsi"/>
            <w:webHidden/>
          </w:rPr>
          <w:fldChar w:fldCharType="separate"/>
        </w:r>
        <w:r w:rsidR="00247165">
          <w:rPr>
            <w:rStyle w:val="Hyperlink"/>
            <w:rFonts w:cstheme="minorHAnsi"/>
            <w:webHidden/>
          </w:rPr>
          <w:t>48</w:t>
        </w:r>
        <w:r w:rsidR="00247165" w:rsidRPr="00247165">
          <w:rPr>
            <w:rStyle w:val="Hyperlink"/>
            <w:rFonts w:cstheme="minorHAnsi"/>
            <w:webHidden/>
          </w:rPr>
          <w:fldChar w:fldCharType="end"/>
        </w:r>
      </w:hyperlink>
    </w:p>
    <w:p w14:paraId="14CE552A" w14:textId="70445C37" w:rsidR="00E0574F" w:rsidRDefault="000A7279" w:rsidP="00144C89">
      <w:pPr>
        <w:pStyle w:val="Sumrio1"/>
        <w:spacing w:after="0"/>
        <w:rPr>
          <w:rStyle w:val="Hyperlink"/>
          <w:rFonts w:cstheme="minorHAnsi"/>
        </w:rPr>
      </w:pPr>
      <w:r w:rsidRPr="00144C89">
        <w:rPr>
          <w:rStyle w:val="Hyperlink"/>
          <w:rFonts w:cstheme="minorHAnsi"/>
        </w:rPr>
        <w:fldChar w:fldCharType="end"/>
      </w:r>
    </w:p>
    <w:p w14:paraId="354126A5" w14:textId="77777777" w:rsidR="00E0574F" w:rsidRDefault="00E0574F" w:rsidP="00144C89">
      <w:pPr>
        <w:pStyle w:val="Sumrio1"/>
        <w:spacing w:after="0"/>
        <w:rPr>
          <w:rFonts w:cstheme="minorHAnsi"/>
          <w:b/>
        </w:rPr>
      </w:pPr>
    </w:p>
    <w:p w14:paraId="6F42933C" w14:textId="5CA4B1AD" w:rsidR="00406156" w:rsidRPr="00144C89" w:rsidRDefault="00406156" w:rsidP="00144C89">
      <w:pPr>
        <w:pStyle w:val="Sumrio1"/>
        <w:spacing w:after="0"/>
        <w:rPr>
          <w:rFonts w:cstheme="minorHAnsi"/>
          <w:b/>
        </w:rPr>
      </w:pPr>
      <w:r w:rsidRPr="00144C89">
        <w:rPr>
          <w:rFonts w:cstheme="minorHAnsi"/>
          <w:b/>
        </w:rPr>
        <w:t>Lista de Gráficos</w:t>
      </w:r>
    </w:p>
    <w:p w14:paraId="488BB565" w14:textId="52B54C2D" w:rsidR="00F03CC4" w:rsidRPr="00087F48" w:rsidRDefault="00406156" w:rsidP="00087F48">
      <w:pPr>
        <w:pStyle w:val="Sumrio1"/>
        <w:spacing w:after="0"/>
        <w:rPr>
          <w:rStyle w:val="Hyperlink"/>
          <w:rFonts w:cstheme="minorHAnsi"/>
        </w:rPr>
      </w:pPr>
      <w:r w:rsidRPr="00144C89">
        <w:rPr>
          <w:rStyle w:val="Hyperlink"/>
        </w:rPr>
        <w:fldChar w:fldCharType="begin"/>
      </w:r>
      <w:r w:rsidRPr="00144C89">
        <w:rPr>
          <w:rStyle w:val="Hyperlink"/>
        </w:rPr>
        <w:instrText xml:space="preserve"> TOC \h \z \c "Gráfico" </w:instrText>
      </w:r>
      <w:r w:rsidRPr="00144C89">
        <w:rPr>
          <w:rStyle w:val="Hyperlink"/>
        </w:rPr>
        <w:fldChar w:fldCharType="separate"/>
      </w:r>
      <w:hyperlink w:anchor="_Toc159258277" w:history="1">
        <w:r w:rsidR="00F03CC4" w:rsidRPr="00087F48">
          <w:rPr>
            <w:rStyle w:val="Hyperlink"/>
            <w:rFonts w:cstheme="minorHAnsi"/>
          </w:rPr>
          <w:t>Gráfico 7</w:t>
        </w:r>
        <w:r w:rsidR="00F03CC4" w:rsidRPr="00087F48">
          <w:rPr>
            <w:rStyle w:val="Hyperlink"/>
            <w:rFonts w:cstheme="minorHAnsi"/>
          </w:rPr>
          <w:noBreakHyphen/>
          <w:t>1 Projeto GESAC</w:t>
        </w:r>
        <w:r w:rsidR="00F03CC4" w:rsidRPr="00087F48">
          <w:rPr>
            <w:rStyle w:val="Hyperlink"/>
            <w:rFonts w:cstheme="minorHAnsi"/>
            <w:webHidden/>
          </w:rPr>
          <w:tab/>
        </w:r>
        <w:r w:rsidR="00F03CC4" w:rsidRPr="00087F48">
          <w:rPr>
            <w:rStyle w:val="Hyperlink"/>
            <w:rFonts w:cstheme="minorHAnsi"/>
            <w:webHidden/>
          </w:rPr>
          <w:fldChar w:fldCharType="begin"/>
        </w:r>
        <w:r w:rsidR="00F03CC4" w:rsidRPr="00087F48">
          <w:rPr>
            <w:rStyle w:val="Hyperlink"/>
            <w:rFonts w:cstheme="minorHAnsi"/>
            <w:webHidden/>
          </w:rPr>
          <w:instrText xml:space="preserve"> PAGEREF _Toc159258277 \h </w:instrText>
        </w:r>
        <w:r w:rsidR="00F03CC4" w:rsidRPr="00087F48">
          <w:rPr>
            <w:rStyle w:val="Hyperlink"/>
            <w:rFonts w:cstheme="minorHAnsi"/>
            <w:webHidden/>
          </w:rPr>
        </w:r>
        <w:r w:rsidR="00F03CC4" w:rsidRPr="00087F48">
          <w:rPr>
            <w:rStyle w:val="Hyperlink"/>
            <w:rFonts w:cstheme="minorHAnsi"/>
            <w:webHidden/>
          </w:rPr>
          <w:fldChar w:fldCharType="separate"/>
        </w:r>
        <w:r w:rsidR="00247165">
          <w:rPr>
            <w:rStyle w:val="Hyperlink"/>
            <w:rFonts w:cstheme="minorHAnsi"/>
            <w:webHidden/>
          </w:rPr>
          <w:t>40</w:t>
        </w:r>
        <w:r w:rsidR="00F03CC4" w:rsidRPr="00087F48">
          <w:rPr>
            <w:rStyle w:val="Hyperlink"/>
            <w:rFonts w:cstheme="minorHAnsi"/>
            <w:webHidden/>
          </w:rPr>
          <w:fldChar w:fldCharType="end"/>
        </w:r>
      </w:hyperlink>
    </w:p>
    <w:p w14:paraId="32BABEBB" w14:textId="10384E6A" w:rsidR="00F03CC4" w:rsidRPr="00087F48" w:rsidRDefault="006F713F" w:rsidP="00087F48">
      <w:pPr>
        <w:pStyle w:val="Sumrio1"/>
        <w:spacing w:after="0"/>
        <w:rPr>
          <w:rStyle w:val="Hyperlink"/>
          <w:rFonts w:cstheme="minorHAnsi"/>
        </w:rPr>
      </w:pPr>
      <w:hyperlink w:anchor="_Toc159258278" w:history="1">
        <w:r w:rsidR="00F03CC4" w:rsidRPr="00087F48">
          <w:rPr>
            <w:rStyle w:val="Hyperlink"/>
            <w:rFonts w:cstheme="minorHAnsi"/>
          </w:rPr>
          <w:t>Gráfico 7</w:t>
        </w:r>
        <w:r w:rsidR="00F03CC4" w:rsidRPr="00087F48">
          <w:rPr>
            <w:rStyle w:val="Hyperlink"/>
            <w:rFonts w:cstheme="minorHAnsi"/>
          </w:rPr>
          <w:noBreakHyphen/>
          <w:t>2 Nível de Serviço – Disponibilidade da Rede</w:t>
        </w:r>
        <w:r w:rsidR="00F03CC4" w:rsidRPr="00087F48">
          <w:rPr>
            <w:rStyle w:val="Hyperlink"/>
            <w:rFonts w:cstheme="minorHAnsi"/>
            <w:webHidden/>
          </w:rPr>
          <w:tab/>
        </w:r>
        <w:r w:rsidR="00F03CC4" w:rsidRPr="00087F48">
          <w:rPr>
            <w:rStyle w:val="Hyperlink"/>
            <w:rFonts w:cstheme="minorHAnsi"/>
            <w:webHidden/>
          </w:rPr>
          <w:fldChar w:fldCharType="begin"/>
        </w:r>
        <w:r w:rsidR="00F03CC4" w:rsidRPr="00087F48">
          <w:rPr>
            <w:rStyle w:val="Hyperlink"/>
            <w:rFonts w:cstheme="minorHAnsi"/>
            <w:webHidden/>
          </w:rPr>
          <w:instrText xml:space="preserve"> PAGEREF _Toc159258278 \h </w:instrText>
        </w:r>
        <w:r w:rsidR="00F03CC4" w:rsidRPr="00087F48">
          <w:rPr>
            <w:rStyle w:val="Hyperlink"/>
            <w:rFonts w:cstheme="minorHAnsi"/>
            <w:webHidden/>
          </w:rPr>
        </w:r>
        <w:r w:rsidR="00F03CC4" w:rsidRPr="00087F48">
          <w:rPr>
            <w:rStyle w:val="Hyperlink"/>
            <w:rFonts w:cstheme="minorHAnsi"/>
            <w:webHidden/>
          </w:rPr>
          <w:fldChar w:fldCharType="separate"/>
        </w:r>
        <w:r w:rsidR="00247165">
          <w:rPr>
            <w:rStyle w:val="Hyperlink"/>
            <w:rFonts w:cstheme="minorHAnsi"/>
            <w:webHidden/>
          </w:rPr>
          <w:t>42</w:t>
        </w:r>
        <w:r w:rsidR="00F03CC4" w:rsidRPr="00087F48">
          <w:rPr>
            <w:rStyle w:val="Hyperlink"/>
            <w:rFonts w:cstheme="minorHAnsi"/>
            <w:webHidden/>
          </w:rPr>
          <w:fldChar w:fldCharType="end"/>
        </w:r>
      </w:hyperlink>
    </w:p>
    <w:p w14:paraId="4133DA02" w14:textId="0460E93A" w:rsidR="00F03CC4" w:rsidRPr="00087F48" w:rsidRDefault="006F713F" w:rsidP="00087F48">
      <w:pPr>
        <w:pStyle w:val="Sumrio1"/>
        <w:spacing w:after="0"/>
        <w:rPr>
          <w:rStyle w:val="Hyperlink"/>
          <w:rFonts w:cstheme="minorHAnsi"/>
        </w:rPr>
      </w:pPr>
      <w:hyperlink w:anchor="_Toc159258279" w:history="1">
        <w:r w:rsidR="00F03CC4" w:rsidRPr="00087F48">
          <w:rPr>
            <w:rStyle w:val="Hyperlink"/>
            <w:rFonts w:cstheme="minorHAnsi"/>
          </w:rPr>
          <w:t>Gráfico 8</w:t>
        </w:r>
        <w:r w:rsidR="00F03CC4" w:rsidRPr="00087F48">
          <w:rPr>
            <w:rStyle w:val="Hyperlink"/>
            <w:rFonts w:cstheme="minorHAnsi"/>
          </w:rPr>
          <w:noBreakHyphen/>
          <w:t>1 Evolução do quadro funcional em 2023</w:t>
        </w:r>
        <w:r w:rsidR="00F03CC4" w:rsidRPr="00087F48">
          <w:rPr>
            <w:rStyle w:val="Hyperlink"/>
            <w:rFonts w:cstheme="minorHAnsi"/>
            <w:webHidden/>
          </w:rPr>
          <w:tab/>
        </w:r>
        <w:r w:rsidR="00F03CC4" w:rsidRPr="00087F48">
          <w:rPr>
            <w:rStyle w:val="Hyperlink"/>
            <w:rFonts w:cstheme="minorHAnsi"/>
            <w:webHidden/>
          </w:rPr>
          <w:fldChar w:fldCharType="begin"/>
        </w:r>
        <w:r w:rsidR="00F03CC4" w:rsidRPr="00087F48">
          <w:rPr>
            <w:rStyle w:val="Hyperlink"/>
            <w:rFonts w:cstheme="minorHAnsi"/>
            <w:webHidden/>
          </w:rPr>
          <w:instrText xml:space="preserve"> PAGEREF _Toc159258279 \h </w:instrText>
        </w:r>
        <w:r w:rsidR="00F03CC4" w:rsidRPr="00087F48">
          <w:rPr>
            <w:rStyle w:val="Hyperlink"/>
            <w:rFonts w:cstheme="minorHAnsi"/>
            <w:webHidden/>
          </w:rPr>
        </w:r>
        <w:r w:rsidR="00F03CC4" w:rsidRPr="00087F48">
          <w:rPr>
            <w:rStyle w:val="Hyperlink"/>
            <w:rFonts w:cstheme="minorHAnsi"/>
            <w:webHidden/>
          </w:rPr>
          <w:fldChar w:fldCharType="separate"/>
        </w:r>
        <w:r w:rsidR="00247165">
          <w:rPr>
            <w:rStyle w:val="Hyperlink"/>
            <w:rFonts w:cstheme="minorHAnsi"/>
            <w:webHidden/>
          </w:rPr>
          <w:t>46</w:t>
        </w:r>
        <w:r w:rsidR="00F03CC4" w:rsidRPr="00087F48">
          <w:rPr>
            <w:rStyle w:val="Hyperlink"/>
            <w:rFonts w:cstheme="minorHAnsi"/>
            <w:webHidden/>
          </w:rPr>
          <w:fldChar w:fldCharType="end"/>
        </w:r>
      </w:hyperlink>
    </w:p>
    <w:p w14:paraId="2B789178" w14:textId="4B22E425" w:rsidR="00406156" w:rsidRPr="00144C89" w:rsidRDefault="00406156" w:rsidP="00144C89">
      <w:pPr>
        <w:pStyle w:val="Sumrio3"/>
        <w:rPr>
          <w:rStyle w:val="Hyperlink"/>
          <w:noProof/>
        </w:rPr>
      </w:pPr>
      <w:r w:rsidRPr="00144C89">
        <w:rPr>
          <w:rStyle w:val="Hyperlink"/>
          <w:noProof/>
        </w:rPr>
        <w:fldChar w:fldCharType="end"/>
      </w:r>
    </w:p>
    <w:p w14:paraId="07FC8A81" w14:textId="2C84250D" w:rsidR="000D379F" w:rsidRPr="00AE3EC3" w:rsidRDefault="000D379F" w:rsidP="00327B0F">
      <w:pPr>
        <w:pStyle w:val="Ttulo1"/>
        <w:ind w:left="567" w:hanging="567"/>
        <w:rPr>
          <w:szCs w:val="26"/>
        </w:rPr>
      </w:pPr>
      <w:bookmarkStart w:id="2" w:name="_Toc161319428"/>
      <w:bookmarkStart w:id="3" w:name="_Toc124080447"/>
      <w:bookmarkEnd w:id="1"/>
      <w:bookmarkEnd w:id="0"/>
      <w:r w:rsidRPr="00AE3EC3">
        <w:rPr>
          <w:szCs w:val="26"/>
        </w:rPr>
        <w:lastRenderedPageBreak/>
        <w:t>Mensagem da Administração</w:t>
      </w:r>
      <w:bookmarkEnd w:id="2"/>
    </w:p>
    <w:p w14:paraId="21FF5495" w14:textId="6BBFF06E" w:rsidR="009A4F94" w:rsidRPr="009A4F94" w:rsidRDefault="009A4F94" w:rsidP="009A4F94">
      <w:pPr>
        <w:spacing w:line="276" w:lineRule="auto"/>
        <w:rPr>
          <w:sz w:val="22"/>
          <w:szCs w:val="22"/>
        </w:rPr>
      </w:pPr>
      <w:r w:rsidRPr="009A4F94">
        <w:rPr>
          <w:sz w:val="22"/>
          <w:szCs w:val="22"/>
        </w:rPr>
        <w:t>À medida que refletimos sobre o ano de 2023, é com um profundo senso de realização que destacamos os avanços significativos e as conquistas estratégicas que marcaram este período. O ano foi um testemunho vibrante do nosso compromisso inabalável com a inclusão digital e a segurança nacional, refletindo nosso papel central na execução de políticas públicas, segurança nacional e gestão sustentável.</w:t>
      </w:r>
    </w:p>
    <w:p w14:paraId="5B5C9A07" w14:textId="5A31E0FE" w:rsidR="009A4F94" w:rsidRPr="009A4F94" w:rsidRDefault="009A4F94" w:rsidP="009A4F94">
      <w:pPr>
        <w:spacing w:line="276" w:lineRule="auto"/>
        <w:rPr>
          <w:sz w:val="22"/>
          <w:szCs w:val="22"/>
        </w:rPr>
      </w:pPr>
      <w:r w:rsidRPr="009A4F94">
        <w:rPr>
          <w:sz w:val="22"/>
          <w:szCs w:val="22"/>
        </w:rPr>
        <w:t>A renovação do contrato com o Ministério das Comunicações (</w:t>
      </w:r>
      <w:proofErr w:type="spellStart"/>
      <w:r w:rsidRPr="009A4F94">
        <w:rPr>
          <w:sz w:val="22"/>
          <w:szCs w:val="22"/>
        </w:rPr>
        <w:t>MCom</w:t>
      </w:r>
      <w:proofErr w:type="spellEnd"/>
      <w:r w:rsidRPr="009A4F94">
        <w:rPr>
          <w:sz w:val="22"/>
          <w:szCs w:val="22"/>
        </w:rPr>
        <w:t>) para a execução do Governo Eletrônico – Serviço de Atendimento ao Cidadão (GESAC) reforça nossa missão de conectar o Brasil de ponta a ponta, democratizando o acesso à informação com a previsão de implementar 28 mil pontos de conexão. Este es</w:t>
      </w:r>
      <w:r w:rsidR="00CD2FAC">
        <w:rPr>
          <w:sz w:val="22"/>
          <w:szCs w:val="22"/>
        </w:rPr>
        <w:t xml:space="preserve">forço </w:t>
      </w:r>
      <w:r w:rsidRPr="009A4F94">
        <w:rPr>
          <w:sz w:val="22"/>
          <w:szCs w:val="22"/>
        </w:rPr>
        <w:t>é apenas uma faceta do nosso trabalho para impulsionar o desenvolvimento em áreas vitais como Educação, Saúde, Segurança e Economia.</w:t>
      </w:r>
    </w:p>
    <w:p w14:paraId="00273891" w14:textId="2723FBFB" w:rsidR="009A4F94" w:rsidRPr="009A4F94" w:rsidRDefault="009A4F94" w:rsidP="009A4F94">
      <w:pPr>
        <w:spacing w:line="276" w:lineRule="auto"/>
        <w:rPr>
          <w:sz w:val="22"/>
          <w:szCs w:val="22"/>
        </w:rPr>
      </w:pPr>
      <w:r w:rsidRPr="009A4F94">
        <w:rPr>
          <w:sz w:val="22"/>
          <w:szCs w:val="22"/>
        </w:rPr>
        <w:t xml:space="preserve">Celebrando 51 anos de nossa </w:t>
      </w:r>
      <w:r w:rsidR="00CD2FAC">
        <w:rPr>
          <w:sz w:val="22"/>
          <w:szCs w:val="22"/>
        </w:rPr>
        <w:t>criação</w:t>
      </w:r>
      <w:r w:rsidRPr="009A4F94">
        <w:rPr>
          <w:sz w:val="22"/>
          <w:szCs w:val="22"/>
        </w:rPr>
        <w:t>, a Telebras alcançou uma conquista histórica ao receber o selo de Empresa de Defesa (ED), tornando-se a primeira operadora de telecomunicações no Brasil a obter tal certificação pelo Ministério da Defesa. Este reconhecimento não apenas valida nossa excelência operacional, mas também reforça nossa contribuição para a soberania e a segurança nacional, com nossos serviços estratégicos de comunicação agora reconhecidos como Produtos Estratégicos de Defesa (PED).</w:t>
      </w:r>
    </w:p>
    <w:p w14:paraId="6F02CCB7" w14:textId="248039BF" w:rsidR="009A4F94" w:rsidRPr="009A4F94" w:rsidRDefault="009A4F94" w:rsidP="009A4F94">
      <w:pPr>
        <w:spacing w:line="276" w:lineRule="auto"/>
        <w:rPr>
          <w:sz w:val="22"/>
          <w:szCs w:val="22"/>
        </w:rPr>
      </w:pPr>
      <w:r w:rsidRPr="009A4F94">
        <w:rPr>
          <w:sz w:val="22"/>
          <w:szCs w:val="22"/>
        </w:rPr>
        <w:t>Nossa resposta rápida e eficaz às emergências, especialmente em face de desastres naturais, como a instalação de antenas de conexão banda larga via satélite nos municípios afetados pelas fortes chuvas no Rio Grande do Sul, destaca nossa capacidade de agir prontamente em situações críticas. Este compromisso se estendeu a regiões remotas, incluindo o Território Indígena Yanomami e São Sebastião (SP), onde superamos barreiras geográficas e sociais para garantir o acesso à comunicação e à informação</w:t>
      </w:r>
      <w:r w:rsidR="00CD2FAC">
        <w:rPr>
          <w:sz w:val="22"/>
          <w:szCs w:val="22"/>
        </w:rPr>
        <w:t xml:space="preserve"> a população afetada e as equipes de socorro </w:t>
      </w:r>
      <w:r w:rsidR="00480C0D">
        <w:rPr>
          <w:sz w:val="22"/>
          <w:szCs w:val="22"/>
        </w:rPr>
        <w:t>às</w:t>
      </w:r>
      <w:r w:rsidR="00CD2FAC">
        <w:rPr>
          <w:sz w:val="22"/>
          <w:szCs w:val="22"/>
        </w:rPr>
        <w:t xml:space="preserve"> vítimas</w:t>
      </w:r>
      <w:r w:rsidRPr="009A4F94">
        <w:rPr>
          <w:sz w:val="22"/>
          <w:szCs w:val="22"/>
        </w:rPr>
        <w:t>.</w:t>
      </w:r>
    </w:p>
    <w:p w14:paraId="029838AC" w14:textId="77777777" w:rsidR="00826EFF" w:rsidRDefault="009A4F94" w:rsidP="009A4F94">
      <w:pPr>
        <w:spacing w:line="276" w:lineRule="auto"/>
        <w:rPr>
          <w:sz w:val="22"/>
          <w:szCs w:val="22"/>
        </w:rPr>
      </w:pPr>
      <w:r w:rsidRPr="009A4F94">
        <w:rPr>
          <w:sz w:val="22"/>
          <w:szCs w:val="22"/>
        </w:rPr>
        <w:t>Sob a responsabilidade de implementar as Políticas Públicas de Telecomunicações, designadas pelos Decretos nº 9.612/2018, nº 10.799/2021 e nº 11.299/2022, focamos no planejamento da gestão da Rede Privativa do Governo Federal. Este planejamento é crucial para a segurança das informações e a eficiência na comunicação dentro da administração pública.</w:t>
      </w:r>
    </w:p>
    <w:p w14:paraId="67646B0B" w14:textId="2CE6A823" w:rsidR="009A4F94" w:rsidRPr="009A4F94" w:rsidRDefault="00826EFF" w:rsidP="009A4F94">
      <w:pPr>
        <w:spacing w:line="276" w:lineRule="auto"/>
        <w:rPr>
          <w:sz w:val="22"/>
          <w:szCs w:val="22"/>
        </w:rPr>
      </w:pPr>
      <w:r w:rsidRPr="00826EFF">
        <w:rPr>
          <w:sz w:val="22"/>
          <w:szCs w:val="22"/>
        </w:rPr>
        <w:t xml:space="preserve">Dentro do contexto estabelecido pela Lei Nº 14.744, de 30 de </w:t>
      </w:r>
      <w:r w:rsidR="00393495">
        <w:rPr>
          <w:sz w:val="22"/>
          <w:szCs w:val="22"/>
        </w:rPr>
        <w:t>n</w:t>
      </w:r>
      <w:r w:rsidR="00393495" w:rsidRPr="00826EFF">
        <w:rPr>
          <w:sz w:val="22"/>
          <w:szCs w:val="22"/>
        </w:rPr>
        <w:t xml:space="preserve">ovembro </w:t>
      </w:r>
      <w:r w:rsidRPr="00826EFF">
        <w:rPr>
          <w:sz w:val="22"/>
          <w:szCs w:val="22"/>
        </w:rPr>
        <w:t>de 2023, ressalta-se a importância estratégica da Telecomunicações Brasileiras S.A. (Telebras) no cenário nacional de comunicações. A legislação conferiu preferência à Telebras na contratação de serviços de comunicação multimídia pela administração pública federal direta e indireta, reconhecendo-a como um vetor essencial para a promoção da infraestrutura de telecomunicações no país. Essa preferência não apenas fortalece a posição da Telebras como uma entidade chave no fornecimento de serviços de telecomunicações, mas também assegura que o governo tenha acesso a uma rede de comunicação robusta e eficiente, crucial para a implementação de políticas públicas eficazes.</w:t>
      </w:r>
    </w:p>
    <w:p w14:paraId="0C587664" w14:textId="2BA6A40B" w:rsidR="009A4F94" w:rsidRPr="009A4F94" w:rsidRDefault="009A4F94" w:rsidP="009A4F94">
      <w:pPr>
        <w:spacing w:line="276" w:lineRule="auto"/>
        <w:rPr>
          <w:sz w:val="22"/>
          <w:szCs w:val="22"/>
        </w:rPr>
      </w:pPr>
      <w:r w:rsidRPr="009A4F94">
        <w:rPr>
          <w:sz w:val="22"/>
          <w:szCs w:val="22"/>
        </w:rPr>
        <w:t xml:space="preserve">Nosso trabalho não apenas reafirma a importância estratégica da Telebras para o país, como evidenciado pela decisão do Conselho do Programa de Parcerias e Investimentos (PPI) de nos excluir </w:t>
      </w:r>
      <w:r w:rsidRPr="009A4F94">
        <w:rPr>
          <w:sz w:val="22"/>
          <w:szCs w:val="22"/>
        </w:rPr>
        <w:lastRenderedPageBreak/>
        <w:t>do Programa Nacional de Desestatização (PND), mas também demonstra nosso compromisso contínuo com a sociedade brasileira. Atingimos uma receita operacional bruta de 470 milhões de reais em 2023, 16,5% superior à de 2022, refletindo o sucesso de nossa estratégia diversificada e da gestão eficiente de recursos.</w:t>
      </w:r>
    </w:p>
    <w:p w14:paraId="38C29466" w14:textId="77777777" w:rsidR="009A4F94" w:rsidRPr="009A4F94" w:rsidRDefault="009A4F94" w:rsidP="009A4F94">
      <w:pPr>
        <w:spacing w:line="276" w:lineRule="auto"/>
        <w:rPr>
          <w:sz w:val="22"/>
          <w:szCs w:val="22"/>
        </w:rPr>
      </w:pPr>
      <w:r w:rsidRPr="009A4F94">
        <w:rPr>
          <w:sz w:val="22"/>
          <w:szCs w:val="22"/>
        </w:rPr>
        <w:t>À medida que avançamos para 2024, permanecemos dedicados à execução de políticas públicas e à segurança nacional. Com o olhar sempre voltado para a inovação, a responsabilidade social e a segurança, estamos comprometidos em construir um futuro mais conectado e seguro para todos os brasileiros.</w:t>
      </w:r>
    </w:p>
    <w:p w14:paraId="442D5FFF" w14:textId="0558F5E1" w:rsidR="009A4F94" w:rsidRPr="009A4F94" w:rsidRDefault="009A4F94" w:rsidP="009A4F94">
      <w:pPr>
        <w:spacing w:line="276" w:lineRule="auto"/>
        <w:rPr>
          <w:sz w:val="22"/>
          <w:szCs w:val="22"/>
        </w:rPr>
      </w:pPr>
      <w:r w:rsidRPr="009A4F94">
        <w:rPr>
          <w:sz w:val="22"/>
          <w:szCs w:val="22"/>
        </w:rPr>
        <w:t>A</w:t>
      </w:r>
      <w:r w:rsidR="008367E4">
        <w:rPr>
          <w:sz w:val="22"/>
          <w:szCs w:val="22"/>
        </w:rPr>
        <w:t>gradecemos</w:t>
      </w:r>
      <w:r w:rsidRPr="009A4F94">
        <w:rPr>
          <w:sz w:val="22"/>
          <w:szCs w:val="22"/>
        </w:rPr>
        <w:t xml:space="preserve"> imensamente a todos os nossos colaboradores, parceiros e acionistas pelo apoio contínuo e pela confiança depositada em nossa visão e missão. Juntos, enfrentaremos os desafios e aproveitaremos as oportunidades que o futuro nos reserva, sempre com o compromisso de servir e proteger nosso país.</w:t>
      </w:r>
    </w:p>
    <w:p w14:paraId="4AE23861" w14:textId="55D50371" w:rsidR="00E4499D" w:rsidRPr="00337BFF" w:rsidRDefault="009A4F94" w:rsidP="009A4F94">
      <w:pPr>
        <w:spacing w:line="276" w:lineRule="auto"/>
        <w:rPr>
          <w:rFonts w:ascii="FiraSans-Light" w:hAnsi="FiraSans-Light" w:cs="FiraSans-Light"/>
          <w:color w:val="706E6E"/>
          <w:sz w:val="22"/>
          <w:szCs w:val="22"/>
          <w:highlight w:val="yellow"/>
          <w:lang w:eastAsia="pt-BR"/>
        </w:rPr>
      </w:pPr>
      <w:r w:rsidRPr="009A4F94">
        <w:rPr>
          <w:sz w:val="22"/>
          <w:szCs w:val="22"/>
        </w:rPr>
        <w:t>Atenciosamente,</w:t>
      </w:r>
    </w:p>
    <w:p w14:paraId="5CDA0D6A" w14:textId="459A1154" w:rsidR="00E16A29" w:rsidRPr="00AE3EC3" w:rsidRDefault="008367E4" w:rsidP="006A5D46">
      <w:pPr>
        <w:spacing w:line="276" w:lineRule="auto"/>
        <w:jc w:val="right"/>
        <w:rPr>
          <w:rFonts w:cs="Arial"/>
          <w:b/>
          <w:sz w:val="22"/>
        </w:rPr>
      </w:pPr>
      <w:r w:rsidRPr="00AE3EC3">
        <w:rPr>
          <w:rFonts w:cs="Arial"/>
          <w:b/>
        </w:rPr>
        <w:t>A Administração</w:t>
      </w:r>
    </w:p>
    <w:p w14:paraId="51924544" w14:textId="3D26E7A8" w:rsidR="00171EBB" w:rsidRPr="00AE3EC3" w:rsidRDefault="005F0BD1" w:rsidP="00327B0F">
      <w:pPr>
        <w:pStyle w:val="Ttulo1"/>
        <w:ind w:left="858" w:hanging="858"/>
        <w:rPr>
          <w:szCs w:val="26"/>
        </w:rPr>
      </w:pPr>
      <w:bookmarkStart w:id="4" w:name="_Toc161319429"/>
      <w:r w:rsidRPr="00AE3EC3">
        <w:rPr>
          <w:szCs w:val="26"/>
        </w:rPr>
        <w:lastRenderedPageBreak/>
        <w:t xml:space="preserve">Perfil de </w:t>
      </w:r>
      <w:r w:rsidR="00591DF5" w:rsidRPr="00AE3EC3">
        <w:rPr>
          <w:szCs w:val="26"/>
        </w:rPr>
        <w:t>Atuação</w:t>
      </w:r>
      <w:bookmarkEnd w:id="4"/>
    </w:p>
    <w:p w14:paraId="5FC1CEE7" w14:textId="4297AED0" w:rsidR="003807F5" w:rsidRPr="00AE3EC3" w:rsidRDefault="003807F5" w:rsidP="006050AE">
      <w:pPr>
        <w:spacing w:line="240" w:lineRule="auto"/>
        <w:rPr>
          <w:sz w:val="22"/>
          <w:szCs w:val="22"/>
        </w:rPr>
      </w:pPr>
      <w:r w:rsidRPr="00AE3EC3">
        <w:rPr>
          <w:sz w:val="22"/>
          <w:szCs w:val="22"/>
        </w:rPr>
        <w:t xml:space="preserve">A Telecomunicações Brasileiras S.A. – Telebras, sediada no Setor de Indústrias Gráficas </w:t>
      </w:r>
      <w:r w:rsidR="001B4D02" w:rsidRPr="00AE3EC3">
        <w:rPr>
          <w:sz w:val="22"/>
          <w:szCs w:val="22"/>
        </w:rPr>
        <w:t>–</w:t>
      </w:r>
      <w:r w:rsidRPr="00AE3EC3">
        <w:rPr>
          <w:sz w:val="22"/>
          <w:szCs w:val="22"/>
        </w:rPr>
        <w:t xml:space="preserve"> SIG</w:t>
      </w:r>
      <w:r w:rsidR="001B4D02" w:rsidRPr="00AE3EC3">
        <w:rPr>
          <w:sz w:val="22"/>
          <w:szCs w:val="22"/>
        </w:rPr>
        <w:t>, q</w:t>
      </w:r>
      <w:r w:rsidR="00BC107A" w:rsidRPr="00AE3EC3">
        <w:rPr>
          <w:sz w:val="22"/>
          <w:szCs w:val="22"/>
        </w:rPr>
        <w:t xml:space="preserve">uadra </w:t>
      </w:r>
      <w:r w:rsidRPr="00AE3EC3">
        <w:rPr>
          <w:sz w:val="22"/>
          <w:szCs w:val="22"/>
        </w:rPr>
        <w:t xml:space="preserve">4, </w:t>
      </w:r>
      <w:r w:rsidR="001B4D02" w:rsidRPr="00AE3EC3">
        <w:rPr>
          <w:sz w:val="22"/>
          <w:szCs w:val="22"/>
        </w:rPr>
        <w:t>l</w:t>
      </w:r>
      <w:r w:rsidRPr="00AE3EC3">
        <w:rPr>
          <w:sz w:val="22"/>
          <w:szCs w:val="22"/>
        </w:rPr>
        <w:t>otes 75, 83, 125 e 175</w:t>
      </w:r>
      <w:r w:rsidR="001B4D02" w:rsidRPr="00AE3EC3">
        <w:rPr>
          <w:sz w:val="22"/>
          <w:szCs w:val="22"/>
        </w:rPr>
        <w:t>, b</w:t>
      </w:r>
      <w:r w:rsidRPr="00AE3EC3">
        <w:rPr>
          <w:sz w:val="22"/>
          <w:szCs w:val="22"/>
        </w:rPr>
        <w:t xml:space="preserve">loco A, </w:t>
      </w:r>
      <w:r w:rsidR="001B4D02" w:rsidRPr="00AE3EC3">
        <w:rPr>
          <w:sz w:val="22"/>
          <w:szCs w:val="22"/>
        </w:rPr>
        <w:t>s</w:t>
      </w:r>
      <w:r w:rsidRPr="00AE3EC3">
        <w:rPr>
          <w:sz w:val="22"/>
          <w:szCs w:val="22"/>
        </w:rPr>
        <w:t>alas 211 a 224, Edifício Capital Financial Center</w:t>
      </w:r>
      <w:r w:rsidR="001B4D02" w:rsidRPr="00AE3EC3">
        <w:rPr>
          <w:sz w:val="22"/>
          <w:szCs w:val="22"/>
        </w:rPr>
        <w:t>,</w:t>
      </w:r>
      <w:r w:rsidRPr="00AE3EC3">
        <w:rPr>
          <w:sz w:val="22"/>
          <w:szCs w:val="22"/>
        </w:rPr>
        <w:t xml:space="preserve"> CEP 70610-440</w:t>
      </w:r>
      <w:r w:rsidR="001B4D02" w:rsidRPr="00AE3EC3">
        <w:rPr>
          <w:sz w:val="22"/>
          <w:szCs w:val="22"/>
        </w:rPr>
        <w:t>,</w:t>
      </w:r>
      <w:r w:rsidRPr="00AE3EC3">
        <w:rPr>
          <w:sz w:val="22"/>
          <w:szCs w:val="22"/>
        </w:rPr>
        <w:t xml:space="preserve"> Brasília-DF, inscrita no CNPJ sob o nº 00.336.701/0001-04, é uma sociedade empresarial de economia mista e de capital aberto, listada na Bolsa de Valores B3, vinculada ao Ministério das Comunicações, constituída em 9</w:t>
      </w:r>
      <w:r w:rsidR="006573AA" w:rsidRPr="00AE3EC3">
        <w:rPr>
          <w:sz w:val="22"/>
          <w:szCs w:val="22"/>
        </w:rPr>
        <w:t xml:space="preserve"> de novembro de </w:t>
      </w:r>
      <w:r w:rsidRPr="00AE3EC3">
        <w:rPr>
          <w:sz w:val="22"/>
          <w:szCs w:val="22"/>
        </w:rPr>
        <w:t>1972, de acordo com a Lei nº 5.792, de</w:t>
      </w:r>
      <w:r w:rsidR="007F366B" w:rsidRPr="00AE3EC3">
        <w:rPr>
          <w:sz w:val="22"/>
          <w:szCs w:val="22"/>
        </w:rPr>
        <w:t xml:space="preserve"> 1 de julho de </w:t>
      </w:r>
      <w:r w:rsidRPr="00AE3EC3">
        <w:rPr>
          <w:sz w:val="22"/>
          <w:szCs w:val="22"/>
        </w:rPr>
        <w:t xml:space="preserve">1972, autorizada pela ANATEL para a prestação do Serviço de Comunicação Multimídia, por meio do Termo PVST/SPV </w:t>
      </w:r>
      <w:r w:rsidR="00B97547" w:rsidRPr="00AE3EC3">
        <w:rPr>
          <w:sz w:val="22"/>
          <w:szCs w:val="22"/>
        </w:rPr>
        <w:t>n</w:t>
      </w:r>
      <w:r w:rsidRPr="00AE3EC3">
        <w:rPr>
          <w:sz w:val="22"/>
          <w:szCs w:val="22"/>
        </w:rPr>
        <w:t xml:space="preserve">º 118/2011, publicado no </w:t>
      </w:r>
      <w:r w:rsidR="006573AA" w:rsidRPr="00AE3EC3">
        <w:rPr>
          <w:sz w:val="22"/>
          <w:szCs w:val="22"/>
        </w:rPr>
        <w:t>Diário Oficial da União</w:t>
      </w:r>
      <w:r w:rsidRPr="00AE3EC3">
        <w:rPr>
          <w:sz w:val="22"/>
          <w:szCs w:val="22"/>
        </w:rPr>
        <w:t xml:space="preserve"> em 7</w:t>
      </w:r>
      <w:r w:rsidR="006573AA" w:rsidRPr="00AE3EC3">
        <w:rPr>
          <w:sz w:val="22"/>
          <w:szCs w:val="22"/>
        </w:rPr>
        <w:t xml:space="preserve"> de </w:t>
      </w:r>
      <w:r w:rsidR="00FE4A12" w:rsidRPr="00AE3EC3">
        <w:rPr>
          <w:sz w:val="22"/>
          <w:szCs w:val="22"/>
        </w:rPr>
        <w:t xml:space="preserve">abril de </w:t>
      </w:r>
      <w:r w:rsidRPr="00AE3EC3">
        <w:rPr>
          <w:sz w:val="22"/>
          <w:szCs w:val="22"/>
        </w:rPr>
        <w:t>2011. Rege-se, portanto, pela Lei nº 6.404/76, por disposições especiais de leis federais e da Comissão de Valores Mobiliários – CVM, pela legislação de telecomunicações, pelas leis e usos do comércio e demais disposições legais aplicáveis.</w:t>
      </w:r>
    </w:p>
    <w:p w14:paraId="431AD7D0" w14:textId="501A3F99" w:rsidR="008D2103" w:rsidRPr="00AE3EC3" w:rsidRDefault="00A2364E" w:rsidP="006050AE">
      <w:pPr>
        <w:spacing w:line="240" w:lineRule="auto"/>
        <w:rPr>
          <w:sz w:val="22"/>
          <w:szCs w:val="22"/>
        </w:rPr>
      </w:pPr>
      <w:r w:rsidRPr="00AE3EC3">
        <w:rPr>
          <w:sz w:val="22"/>
          <w:szCs w:val="22"/>
        </w:rPr>
        <w:t>Em</w:t>
      </w:r>
      <w:r w:rsidR="00B262FA" w:rsidRPr="00AE3EC3">
        <w:rPr>
          <w:sz w:val="22"/>
          <w:szCs w:val="22"/>
        </w:rPr>
        <w:t xml:space="preserve"> conformidade com a </w:t>
      </w:r>
      <w:r w:rsidR="00EC37DF" w:rsidRPr="00AE3EC3">
        <w:rPr>
          <w:sz w:val="22"/>
          <w:szCs w:val="22"/>
        </w:rPr>
        <w:t xml:space="preserve">Lei nº 13.978/2020, </w:t>
      </w:r>
      <w:r w:rsidR="00B262FA" w:rsidRPr="00AE3EC3">
        <w:rPr>
          <w:sz w:val="22"/>
          <w:szCs w:val="22"/>
        </w:rPr>
        <w:t>Lei Orçamentária Anual, a Telebras foi incluída no Orçamento Fiscal e da Seguridade Social (OFSS)</w:t>
      </w:r>
      <w:r w:rsidR="003807F5" w:rsidRPr="00AE3EC3">
        <w:rPr>
          <w:sz w:val="22"/>
          <w:szCs w:val="22"/>
        </w:rPr>
        <w:t xml:space="preserve">, </w:t>
      </w:r>
      <w:r w:rsidR="00B262FA" w:rsidRPr="00AE3EC3">
        <w:rPr>
          <w:sz w:val="22"/>
          <w:szCs w:val="22"/>
        </w:rPr>
        <w:t xml:space="preserve">passando a ser classificada </w:t>
      </w:r>
      <w:r w:rsidR="003807F5" w:rsidRPr="00AE3EC3">
        <w:rPr>
          <w:sz w:val="22"/>
          <w:szCs w:val="22"/>
        </w:rPr>
        <w:t>como empresa estatal dependente</w:t>
      </w:r>
      <w:r w:rsidR="00B262FA" w:rsidRPr="00AE3EC3">
        <w:rPr>
          <w:sz w:val="22"/>
          <w:szCs w:val="22"/>
        </w:rPr>
        <w:t xml:space="preserve">. </w:t>
      </w:r>
    </w:p>
    <w:p w14:paraId="5A352D7C" w14:textId="41287718" w:rsidR="00936A81" w:rsidRPr="00AE3EC3" w:rsidRDefault="00DF6692" w:rsidP="00225729">
      <w:pPr>
        <w:spacing w:before="120"/>
        <w:rPr>
          <w:sz w:val="22"/>
          <w:szCs w:val="22"/>
        </w:rPr>
      </w:pPr>
      <w:r w:rsidRPr="00AE3EC3">
        <w:rPr>
          <w:sz w:val="22"/>
          <w:szCs w:val="22"/>
        </w:rPr>
        <w:tab/>
      </w:r>
      <w:r w:rsidR="00617B37" w:rsidRPr="00AE3EC3">
        <w:rPr>
          <w:sz w:val="22"/>
          <w:szCs w:val="22"/>
        </w:rPr>
        <w:t xml:space="preserve">A </w:t>
      </w:r>
      <w:r w:rsidR="00B262FA" w:rsidRPr="00AE3EC3">
        <w:rPr>
          <w:sz w:val="22"/>
          <w:szCs w:val="22"/>
        </w:rPr>
        <w:t>Telebras</w:t>
      </w:r>
      <w:r w:rsidR="00161B81" w:rsidRPr="00AE3EC3">
        <w:rPr>
          <w:sz w:val="22"/>
          <w:szCs w:val="22"/>
        </w:rPr>
        <w:t xml:space="preserve"> atua em conformidade com </w:t>
      </w:r>
      <w:r w:rsidR="009D27EB">
        <w:rPr>
          <w:sz w:val="22"/>
          <w:szCs w:val="22"/>
        </w:rPr>
        <w:t>o</w:t>
      </w:r>
      <w:r w:rsidR="009D27EB" w:rsidRPr="00AE3EC3">
        <w:rPr>
          <w:sz w:val="22"/>
          <w:szCs w:val="22"/>
        </w:rPr>
        <w:t xml:space="preserve"> </w:t>
      </w:r>
      <w:r w:rsidR="009D27EB">
        <w:rPr>
          <w:sz w:val="22"/>
          <w:szCs w:val="22"/>
        </w:rPr>
        <w:t>Decreto</w:t>
      </w:r>
      <w:r w:rsidR="009D27EB" w:rsidRPr="00AE3EC3">
        <w:rPr>
          <w:sz w:val="22"/>
          <w:szCs w:val="22"/>
        </w:rPr>
        <w:t xml:space="preserve"> </w:t>
      </w:r>
      <w:r w:rsidR="00005A14" w:rsidRPr="00AE3EC3">
        <w:rPr>
          <w:sz w:val="22"/>
          <w:szCs w:val="22"/>
        </w:rPr>
        <w:t>nº</w:t>
      </w:r>
      <w:r w:rsidR="00773B0B" w:rsidRPr="00AE3EC3">
        <w:rPr>
          <w:sz w:val="22"/>
          <w:szCs w:val="22"/>
        </w:rPr>
        <w:t xml:space="preserve"> 9.612</w:t>
      </w:r>
      <w:r w:rsidR="00E31B0A" w:rsidRPr="00AE3EC3">
        <w:rPr>
          <w:sz w:val="22"/>
          <w:szCs w:val="22"/>
        </w:rPr>
        <w:t xml:space="preserve">/18, </w:t>
      </w:r>
      <w:r w:rsidR="00936A81" w:rsidRPr="00AE3EC3">
        <w:rPr>
          <w:sz w:val="22"/>
          <w:szCs w:val="22"/>
        </w:rPr>
        <w:t>conforme descrito a seguir:</w:t>
      </w:r>
    </w:p>
    <w:p w14:paraId="43A366BF" w14:textId="38745776" w:rsidR="00936A81" w:rsidRPr="00AE3EC3" w:rsidRDefault="00936A81" w:rsidP="00D55BC5">
      <w:pPr>
        <w:spacing w:before="120" w:after="0" w:line="240" w:lineRule="auto"/>
        <w:ind w:left="1418"/>
        <w:rPr>
          <w:rFonts w:cs="Arial"/>
          <w:i/>
          <w:sz w:val="20"/>
          <w:szCs w:val="20"/>
        </w:rPr>
      </w:pPr>
      <w:r w:rsidRPr="00AE3EC3">
        <w:rPr>
          <w:rFonts w:cs="Arial"/>
          <w:i/>
          <w:sz w:val="20"/>
          <w:szCs w:val="20"/>
        </w:rPr>
        <w:t>“Art. 12. As políticas públicas de telecomunicações de que trata este Decreto substituem, para todos os fins legais, o Programa Nacional de Banda Larga e o Programa Brasil Inteligente, mantidas as seguintes atribuições da Telecomunicações Brasileiras S.A. - Telebras:</w:t>
      </w:r>
    </w:p>
    <w:p w14:paraId="76068CA6" w14:textId="0D56C223" w:rsidR="00936A81" w:rsidRPr="00AE3EC3" w:rsidRDefault="00936A81" w:rsidP="00D55BC5">
      <w:pPr>
        <w:spacing w:before="120" w:after="0"/>
        <w:ind w:left="1418"/>
        <w:rPr>
          <w:rFonts w:cs="Arial"/>
          <w:i/>
          <w:sz w:val="22"/>
          <w:szCs w:val="22"/>
        </w:rPr>
      </w:pPr>
      <w:r w:rsidRPr="00AE3EC3">
        <w:rPr>
          <w:rFonts w:cs="Arial"/>
          <w:i/>
          <w:sz w:val="22"/>
          <w:szCs w:val="22"/>
        </w:rPr>
        <w:t xml:space="preserve">I - </w:t>
      </w:r>
      <w:proofErr w:type="gramStart"/>
      <w:r w:rsidRPr="00AE3EC3">
        <w:rPr>
          <w:rFonts w:cs="Arial"/>
          <w:i/>
          <w:sz w:val="22"/>
          <w:szCs w:val="22"/>
        </w:rPr>
        <w:t>implementação</w:t>
      </w:r>
      <w:proofErr w:type="gramEnd"/>
      <w:r w:rsidRPr="00AE3EC3">
        <w:rPr>
          <w:rFonts w:cs="Arial"/>
          <w:i/>
          <w:sz w:val="22"/>
          <w:szCs w:val="22"/>
        </w:rPr>
        <w:t xml:space="preserve"> da rede privativa de comunicação da administração pública federal; </w:t>
      </w:r>
    </w:p>
    <w:p w14:paraId="744EAF9E" w14:textId="455713AF" w:rsidR="00936A81" w:rsidRPr="00AE3EC3" w:rsidRDefault="00936A81" w:rsidP="00D55BC5">
      <w:pPr>
        <w:spacing w:before="120" w:after="0" w:line="240" w:lineRule="auto"/>
        <w:ind w:left="1418"/>
        <w:rPr>
          <w:rFonts w:cs="Arial"/>
          <w:i/>
          <w:sz w:val="20"/>
          <w:szCs w:val="20"/>
        </w:rPr>
      </w:pPr>
      <w:r w:rsidRPr="00AE3EC3">
        <w:rPr>
          <w:rFonts w:cs="Arial"/>
          <w:i/>
          <w:sz w:val="20"/>
          <w:szCs w:val="20"/>
        </w:rPr>
        <w:t xml:space="preserve">II - </w:t>
      </w:r>
      <w:proofErr w:type="gramStart"/>
      <w:r w:rsidRPr="00AE3EC3">
        <w:rPr>
          <w:rFonts w:cs="Arial"/>
          <w:i/>
          <w:sz w:val="20"/>
          <w:szCs w:val="20"/>
        </w:rPr>
        <w:t>prestação</w:t>
      </w:r>
      <w:proofErr w:type="gramEnd"/>
      <w:r w:rsidRPr="00AE3EC3">
        <w:rPr>
          <w:rFonts w:cs="Arial"/>
          <w:i/>
          <w:sz w:val="20"/>
          <w:szCs w:val="20"/>
        </w:rPr>
        <w:t xml:space="preserve"> de apoio e suporte às políticas públicas de conexão à internet em banda larga para universidades, centros de pesquisa, escolas, hospita</w:t>
      </w:r>
      <w:r w:rsidR="00BC107A" w:rsidRPr="00AE3EC3">
        <w:rPr>
          <w:rFonts w:cs="Arial"/>
          <w:i/>
          <w:sz w:val="20"/>
          <w:szCs w:val="20"/>
        </w:rPr>
        <w:t>is, postos de atendimento, tele</w:t>
      </w:r>
      <w:r w:rsidRPr="00AE3EC3">
        <w:rPr>
          <w:rFonts w:cs="Arial"/>
          <w:i/>
          <w:sz w:val="20"/>
          <w:szCs w:val="20"/>
        </w:rPr>
        <w:t xml:space="preserve">centros comunitários e outros pontos de interesse público; </w:t>
      </w:r>
    </w:p>
    <w:p w14:paraId="09B42F39" w14:textId="0D56C223" w:rsidR="00936A81" w:rsidRPr="00AE3EC3" w:rsidRDefault="00936A81" w:rsidP="00D55BC5">
      <w:pPr>
        <w:spacing w:before="120" w:after="0" w:line="240" w:lineRule="auto"/>
        <w:ind w:left="1418"/>
        <w:rPr>
          <w:rFonts w:cs="Arial"/>
          <w:i/>
          <w:sz w:val="20"/>
          <w:szCs w:val="20"/>
        </w:rPr>
      </w:pPr>
      <w:r w:rsidRPr="00AE3EC3">
        <w:rPr>
          <w:rFonts w:cs="Arial"/>
          <w:i/>
          <w:sz w:val="20"/>
          <w:szCs w:val="20"/>
        </w:rPr>
        <w:t xml:space="preserve">III - provisão de infraestrutura e de redes de suporte a serviços de telecomunicações prestados por empresas privadas, pelos Estados, pelo Distrito Federal, pelos Municípios e por entidades sem fins lucrativos; e </w:t>
      </w:r>
    </w:p>
    <w:p w14:paraId="608443B2" w14:textId="0D56C223" w:rsidR="00936A81" w:rsidRPr="00AE3EC3" w:rsidRDefault="00936A81" w:rsidP="00D55BC5">
      <w:pPr>
        <w:spacing w:before="120" w:after="0" w:line="240" w:lineRule="auto"/>
        <w:ind w:left="1418"/>
        <w:rPr>
          <w:rFonts w:cs="Arial"/>
          <w:i/>
          <w:sz w:val="20"/>
          <w:szCs w:val="20"/>
        </w:rPr>
      </w:pPr>
      <w:r w:rsidRPr="00AE3EC3">
        <w:rPr>
          <w:rFonts w:cs="Arial"/>
          <w:i/>
          <w:sz w:val="20"/>
          <w:szCs w:val="20"/>
        </w:rPr>
        <w:t xml:space="preserve">IV - </w:t>
      </w:r>
      <w:proofErr w:type="gramStart"/>
      <w:r w:rsidRPr="00AE3EC3">
        <w:rPr>
          <w:rFonts w:cs="Arial"/>
          <w:i/>
          <w:sz w:val="20"/>
          <w:szCs w:val="20"/>
        </w:rPr>
        <w:t>prestação</w:t>
      </w:r>
      <w:proofErr w:type="gramEnd"/>
      <w:r w:rsidRPr="00AE3EC3">
        <w:rPr>
          <w:rFonts w:cs="Arial"/>
          <w:i/>
          <w:sz w:val="20"/>
          <w:szCs w:val="20"/>
        </w:rPr>
        <w:t xml:space="preserve"> de serviço de conexão à internet em banda larga para usuários finais, apenas em localidades onde inexista oferta adequada daqueles serviços. </w:t>
      </w:r>
    </w:p>
    <w:p w14:paraId="4D25E106" w14:textId="144486B2" w:rsidR="00936A81" w:rsidRPr="00AE3EC3" w:rsidRDefault="00936A81" w:rsidP="00D55BC5">
      <w:pPr>
        <w:spacing w:before="120" w:after="0" w:line="240" w:lineRule="auto"/>
        <w:ind w:left="1418"/>
        <w:rPr>
          <w:rFonts w:cs="Arial"/>
          <w:i/>
          <w:sz w:val="20"/>
          <w:szCs w:val="20"/>
        </w:rPr>
      </w:pPr>
      <w:r w:rsidRPr="00AE3EC3">
        <w:rPr>
          <w:rFonts w:cs="Arial"/>
          <w:i/>
          <w:sz w:val="20"/>
          <w:szCs w:val="20"/>
        </w:rPr>
        <w:t xml:space="preserve">§ 1º A Telebras exercerá suas atividades nos termos da legislação. </w:t>
      </w:r>
    </w:p>
    <w:p w14:paraId="41368975" w14:textId="0D56C223" w:rsidR="00936A81" w:rsidRPr="00AE3EC3" w:rsidRDefault="00936A81" w:rsidP="00D55BC5">
      <w:pPr>
        <w:spacing w:before="120" w:after="0" w:line="240" w:lineRule="auto"/>
        <w:ind w:left="1418"/>
        <w:rPr>
          <w:rFonts w:cs="Arial"/>
          <w:i/>
          <w:sz w:val="20"/>
          <w:szCs w:val="20"/>
        </w:rPr>
      </w:pPr>
      <w:r w:rsidRPr="00AE3EC3">
        <w:rPr>
          <w:rFonts w:cs="Arial"/>
          <w:i/>
          <w:sz w:val="20"/>
          <w:szCs w:val="20"/>
        </w:rPr>
        <w:t xml:space="preserve">§ 2º Os sistemas de tecnologia de informação e comunicação destinados às atividades de que tratam os incisos I e II do caput são considerados estratégicos para fins de contratação de bens e serviços relacionados à implantação, à manutenção e ao aperfeiçoamento. </w:t>
      </w:r>
    </w:p>
    <w:p w14:paraId="64442505" w14:textId="0D56C223" w:rsidR="00936A81" w:rsidRPr="00AE3EC3" w:rsidRDefault="00936A81" w:rsidP="00D55BC5">
      <w:pPr>
        <w:spacing w:before="120" w:after="0" w:line="240" w:lineRule="auto"/>
        <w:ind w:left="1418"/>
        <w:rPr>
          <w:rFonts w:cs="Arial"/>
          <w:i/>
          <w:sz w:val="20"/>
          <w:szCs w:val="20"/>
        </w:rPr>
      </w:pPr>
      <w:r w:rsidRPr="00AE3EC3">
        <w:rPr>
          <w:rFonts w:cs="Arial"/>
          <w:i/>
          <w:sz w:val="20"/>
          <w:szCs w:val="20"/>
        </w:rPr>
        <w:t xml:space="preserve">§ 3º A implementação da rede privativa de comunicação da administração pública federal de que trata o inciso I do caput consistirá na provisão de serviços, infraestrutura e redes de suporte à comunicação e à transmissão de dados, na forma da legislação em vigor. </w:t>
      </w:r>
    </w:p>
    <w:p w14:paraId="254D10A7" w14:textId="744812E9" w:rsidR="00936A81" w:rsidRPr="00AE3EC3" w:rsidRDefault="00936A81" w:rsidP="00D55BC5">
      <w:pPr>
        <w:spacing w:before="120" w:after="0" w:line="240" w:lineRule="auto"/>
        <w:ind w:left="1418"/>
        <w:rPr>
          <w:rFonts w:cs="Arial"/>
          <w:i/>
          <w:sz w:val="20"/>
          <w:szCs w:val="20"/>
        </w:rPr>
      </w:pPr>
      <w:r w:rsidRPr="00AE3EC3">
        <w:rPr>
          <w:rFonts w:cs="Arial"/>
          <w:i/>
          <w:sz w:val="20"/>
          <w:szCs w:val="20"/>
        </w:rPr>
        <w:t xml:space="preserve">§ 4º O Ministério </w:t>
      </w:r>
      <w:r w:rsidR="0009028D" w:rsidRPr="00AE3EC3">
        <w:rPr>
          <w:rFonts w:cs="Arial"/>
          <w:i/>
          <w:sz w:val="20"/>
          <w:szCs w:val="20"/>
        </w:rPr>
        <w:t xml:space="preserve">das Comunicações </w:t>
      </w:r>
      <w:r w:rsidRPr="00AE3EC3">
        <w:rPr>
          <w:rFonts w:cs="Arial"/>
          <w:i/>
          <w:sz w:val="20"/>
          <w:szCs w:val="20"/>
        </w:rPr>
        <w:t xml:space="preserve">definirá as localidades onde inexista a oferta adequada de serviços de conexão à internet em banda larga a que se refere o inciso IV do caput. </w:t>
      </w:r>
    </w:p>
    <w:p w14:paraId="1884965C" w14:textId="0D56C223" w:rsidR="00936A81" w:rsidRPr="00AE3EC3" w:rsidRDefault="00936A81" w:rsidP="00D55BC5">
      <w:pPr>
        <w:spacing w:before="120" w:after="0" w:line="240" w:lineRule="auto"/>
        <w:ind w:left="1418"/>
        <w:rPr>
          <w:rFonts w:cs="Arial"/>
          <w:i/>
          <w:sz w:val="20"/>
          <w:szCs w:val="20"/>
        </w:rPr>
      </w:pPr>
      <w:r w:rsidRPr="00AE3EC3">
        <w:rPr>
          <w:rFonts w:cs="Arial"/>
          <w:i/>
          <w:sz w:val="20"/>
          <w:szCs w:val="20"/>
        </w:rPr>
        <w:t xml:space="preserve">§ 5º A Telebras permanece autorizada a usar, fruir, operar e manter a infraestrutura e as redes de suporte de serviços de telecomunicações de propriedade ou posse da administração pública federal e a firmar o correspondente contrato de cessão, na hipótese de uso de infraestrutura detida por entidade da administração pública federal indireta. </w:t>
      </w:r>
    </w:p>
    <w:p w14:paraId="31890A09" w14:textId="5542CE0F" w:rsidR="00936A81" w:rsidRPr="00AE3EC3" w:rsidRDefault="00936A81" w:rsidP="00D55BC5">
      <w:pPr>
        <w:spacing w:before="120" w:after="0" w:line="240" w:lineRule="auto"/>
        <w:ind w:left="1418"/>
        <w:rPr>
          <w:rFonts w:cs="Arial"/>
          <w:i/>
          <w:sz w:val="20"/>
          <w:szCs w:val="20"/>
        </w:rPr>
      </w:pPr>
      <w:r w:rsidRPr="00AE3EC3">
        <w:rPr>
          <w:rFonts w:cs="Arial"/>
          <w:i/>
          <w:sz w:val="20"/>
          <w:szCs w:val="20"/>
        </w:rPr>
        <w:t xml:space="preserve">§ 6º As ações executadas ou em execução com fundamento nos programas indicados no caput não serão prejudicadas pela entrada em vigor deste </w:t>
      </w:r>
      <w:r w:rsidR="0009028D" w:rsidRPr="00AE3EC3">
        <w:rPr>
          <w:rFonts w:cs="Arial"/>
          <w:i/>
          <w:sz w:val="20"/>
          <w:szCs w:val="20"/>
        </w:rPr>
        <w:t>Decreto.</w:t>
      </w:r>
    </w:p>
    <w:p w14:paraId="3237C0D6" w14:textId="48F73A61" w:rsidR="00161B81" w:rsidRPr="00AE3EC3" w:rsidRDefault="00161B81" w:rsidP="00D55BC5">
      <w:pPr>
        <w:spacing w:before="120" w:after="0" w:line="240" w:lineRule="auto"/>
        <w:ind w:left="1418"/>
        <w:rPr>
          <w:rFonts w:cs="Arial"/>
          <w:i/>
          <w:sz w:val="20"/>
          <w:szCs w:val="20"/>
        </w:rPr>
      </w:pPr>
      <w:r w:rsidRPr="00AE3EC3">
        <w:rPr>
          <w:rFonts w:cs="Arial"/>
          <w:i/>
          <w:sz w:val="20"/>
          <w:szCs w:val="20"/>
        </w:rPr>
        <w:lastRenderedPageBreak/>
        <w:t xml:space="preserve">§ 7º A rede privativa de comunicação da administração pública federal, de que trata o inciso I do caput, de abrangência nacional, será composta por segmentos de rede móvel e fixa, incluída rede satelital, e observará as seguintes condições: </w:t>
      </w:r>
    </w:p>
    <w:p w14:paraId="1FEDACA2" w14:textId="205500EC" w:rsidR="00161B81" w:rsidRPr="00AE3EC3" w:rsidRDefault="00161B81" w:rsidP="00D55BC5">
      <w:pPr>
        <w:spacing w:before="120" w:after="0" w:line="240" w:lineRule="auto"/>
        <w:ind w:left="1418"/>
        <w:rPr>
          <w:rFonts w:cs="Arial"/>
          <w:i/>
          <w:sz w:val="20"/>
          <w:szCs w:val="20"/>
        </w:rPr>
      </w:pPr>
      <w:r w:rsidRPr="00AE3EC3">
        <w:rPr>
          <w:rFonts w:cs="Arial"/>
          <w:i/>
          <w:sz w:val="20"/>
          <w:szCs w:val="20"/>
        </w:rPr>
        <w:t xml:space="preserve">I - </w:t>
      </w:r>
      <w:proofErr w:type="gramStart"/>
      <w:r w:rsidRPr="00AE3EC3">
        <w:rPr>
          <w:rFonts w:cs="Arial"/>
          <w:i/>
          <w:sz w:val="20"/>
          <w:szCs w:val="20"/>
        </w:rPr>
        <w:t>prover</w:t>
      </w:r>
      <w:proofErr w:type="gramEnd"/>
      <w:r w:rsidRPr="00AE3EC3">
        <w:rPr>
          <w:rFonts w:cs="Arial"/>
          <w:i/>
          <w:sz w:val="20"/>
          <w:szCs w:val="20"/>
        </w:rPr>
        <w:t xml:space="preserve"> capacidade de rede adequada para o atendimento das demandas de órgãos e de entidades da administração pública federal e de órgãos de segurança pública e das forças armadas, com níveis de prioridade, segurança e criptografia adequados às necessidades desses órgãos e entidades; e </w:t>
      </w:r>
    </w:p>
    <w:p w14:paraId="7C0482FD" w14:textId="2C13CFDB" w:rsidR="00161B81" w:rsidRPr="00AE3EC3" w:rsidRDefault="00161B81" w:rsidP="00D55BC5">
      <w:pPr>
        <w:spacing w:before="120" w:after="0" w:line="240" w:lineRule="auto"/>
        <w:ind w:left="1418"/>
      </w:pPr>
      <w:r w:rsidRPr="00AE3EC3">
        <w:rPr>
          <w:rFonts w:cs="Arial"/>
          <w:i/>
          <w:sz w:val="20"/>
          <w:szCs w:val="20"/>
        </w:rPr>
        <w:t xml:space="preserve">II - </w:t>
      </w:r>
      <w:proofErr w:type="gramStart"/>
      <w:r w:rsidRPr="00AE3EC3">
        <w:rPr>
          <w:rFonts w:cs="Arial"/>
          <w:i/>
          <w:sz w:val="20"/>
          <w:szCs w:val="20"/>
        </w:rPr>
        <w:t>utilizar</w:t>
      </w:r>
      <w:proofErr w:type="gramEnd"/>
      <w:r w:rsidRPr="00AE3EC3">
        <w:rPr>
          <w:rFonts w:cs="Arial"/>
          <w:i/>
          <w:sz w:val="20"/>
          <w:szCs w:val="20"/>
        </w:rPr>
        <w:t>, em caráter primário, faixas de radiofrequências designadas pela Anatel para a consecução das atividades de segurança pública, defesa, serviços de socorro e emergência, resposta a desastres e outras atribuições críticas de Estado, incluídas as realizadas por entes federativos, e para atendimento aos órgãos públicos federais, em especial aquelas previstas em editais de licitação de radiofrequências</w:t>
      </w:r>
      <w:r w:rsidRPr="00AE3EC3">
        <w:t xml:space="preserve">. </w:t>
      </w:r>
    </w:p>
    <w:p w14:paraId="54221055" w14:textId="69999BE6" w:rsidR="00161B81" w:rsidRPr="00AE3EC3" w:rsidRDefault="00161B81" w:rsidP="00D55BC5">
      <w:pPr>
        <w:spacing w:before="120" w:after="0" w:line="240" w:lineRule="auto"/>
        <w:ind w:left="1418"/>
        <w:rPr>
          <w:rFonts w:cs="Arial"/>
          <w:i/>
          <w:sz w:val="20"/>
          <w:szCs w:val="20"/>
        </w:rPr>
      </w:pPr>
      <w:r w:rsidRPr="00AE3EC3">
        <w:rPr>
          <w:rFonts w:cs="Arial"/>
          <w:i/>
          <w:sz w:val="20"/>
          <w:szCs w:val="20"/>
        </w:rPr>
        <w:t xml:space="preserve">§ 8º Para fins da consecução das atribuições dispostas nos incisos I e III do caput, fica facultado compartilhar infraestruturas passivas e ativas, incluídos os recursos espectrais, com outras redes, observado o incentivo à competição, conforme o disposto na alínea "c" do inciso I do caput do art. 2º. </w:t>
      </w:r>
    </w:p>
    <w:p w14:paraId="39D9606D" w14:textId="3978F7DD" w:rsidR="00161B81" w:rsidRPr="00AE3EC3" w:rsidRDefault="00161B81" w:rsidP="00D55BC5">
      <w:pPr>
        <w:spacing w:before="120" w:after="0" w:line="240" w:lineRule="auto"/>
        <w:ind w:left="1418"/>
        <w:rPr>
          <w:rFonts w:cs="Arial"/>
          <w:i/>
          <w:sz w:val="20"/>
          <w:szCs w:val="20"/>
        </w:rPr>
      </w:pPr>
      <w:r w:rsidRPr="00AE3EC3">
        <w:rPr>
          <w:rFonts w:cs="Arial"/>
          <w:i/>
          <w:sz w:val="20"/>
          <w:szCs w:val="20"/>
        </w:rPr>
        <w:t xml:space="preserve">§ 9º A Anatel expedirá as autorizações para a exploração de serviços de telecomunicações adequadas aos diferentes usos do segmento de rede móvel da rede privativa de comunicação da administração pública federal, de que tratam o inciso I do caput e o § 7º, e as respectivas autorizações de uso de radiofrequências. </w:t>
      </w:r>
    </w:p>
    <w:p w14:paraId="17BF2B92" w14:textId="0C8865A0" w:rsidR="00936A81" w:rsidRPr="00AE3EC3" w:rsidRDefault="00F93E95" w:rsidP="00225729">
      <w:pPr>
        <w:spacing w:line="240" w:lineRule="auto"/>
        <w:rPr>
          <w:sz w:val="22"/>
        </w:rPr>
      </w:pPr>
      <w:r w:rsidRPr="00AE3EC3">
        <w:rPr>
          <w:sz w:val="22"/>
        </w:rPr>
        <w:t>E</w:t>
      </w:r>
      <w:r w:rsidR="007529ED" w:rsidRPr="00AE3EC3">
        <w:rPr>
          <w:sz w:val="22"/>
        </w:rPr>
        <w:t xml:space="preserve">m consonância com suas atribuições legais, a Telebras atua como agente </w:t>
      </w:r>
      <w:r w:rsidR="00C61BE2" w:rsidRPr="00AE3EC3">
        <w:rPr>
          <w:sz w:val="22"/>
        </w:rPr>
        <w:t xml:space="preserve">executor de políticas públicas de telecomunicações </w:t>
      </w:r>
      <w:r w:rsidR="00163F7D" w:rsidRPr="00AE3EC3">
        <w:rPr>
          <w:sz w:val="22"/>
        </w:rPr>
        <w:t>visando à</w:t>
      </w:r>
      <w:r w:rsidR="007529ED" w:rsidRPr="00AE3EC3">
        <w:rPr>
          <w:sz w:val="22"/>
        </w:rPr>
        <w:t xml:space="preserve"> inclusão digital do</w:t>
      </w:r>
      <w:r w:rsidR="00463D41" w:rsidRPr="00AE3EC3">
        <w:rPr>
          <w:sz w:val="22"/>
        </w:rPr>
        <w:t>s</w:t>
      </w:r>
      <w:r w:rsidR="007529ED" w:rsidRPr="00AE3EC3">
        <w:rPr>
          <w:sz w:val="22"/>
        </w:rPr>
        <w:t xml:space="preserve"> </w:t>
      </w:r>
      <w:r w:rsidR="002D5924" w:rsidRPr="00AE3EC3">
        <w:rPr>
          <w:sz w:val="22"/>
        </w:rPr>
        <w:t>cidadã</w:t>
      </w:r>
      <w:r w:rsidR="00463D41" w:rsidRPr="00AE3EC3">
        <w:rPr>
          <w:sz w:val="22"/>
        </w:rPr>
        <w:t>os</w:t>
      </w:r>
      <w:r w:rsidR="007529ED" w:rsidRPr="00AE3EC3">
        <w:rPr>
          <w:sz w:val="22"/>
        </w:rPr>
        <w:t>, com o propósito de levar conectividade e internet de alta capacidade e excelente qualidade às localidades não atendidas ou com baixo atendimento, bem como atender às demandas de soluções em serviços de conexão para a Administração Pública, cumprindo sua função social.</w:t>
      </w:r>
      <w:r w:rsidR="00AF1311" w:rsidRPr="00AF1311">
        <w:rPr>
          <w:sz w:val="22"/>
        </w:rPr>
        <w:t xml:space="preserve"> </w:t>
      </w:r>
      <w:r w:rsidR="00AF1311">
        <w:rPr>
          <w:sz w:val="22"/>
        </w:rPr>
        <w:t>Adicionalmente,</w:t>
      </w:r>
      <w:r w:rsidR="00AF1311" w:rsidRPr="0087203F">
        <w:rPr>
          <w:sz w:val="22"/>
        </w:rPr>
        <w:t xml:space="preserve"> a Telebras foi designada para gerir exclusivamente a Rede Privativa de Comunicação da Administração Pública Federal (RPCAPF), conforme estipulado pelo Decreto nº 11.299/2022. Essa responsabilidade reforça ainda mais nosso papel fundamental na implementação das políticas públicas de telecomunicações.</w:t>
      </w:r>
    </w:p>
    <w:p w14:paraId="6180CABC" w14:textId="05334245" w:rsidR="00485275" w:rsidRPr="00485275" w:rsidRDefault="004F69B4" w:rsidP="00485275">
      <w:pPr>
        <w:spacing w:line="240" w:lineRule="auto"/>
        <w:rPr>
          <w:sz w:val="22"/>
        </w:rPr>
      </w:pPr>
      <w:r w:rsidRPr="004F69B4">
        <w:rPr>
          <w:sz w:val="22"/>
        </w:rPr>
        <w:t>Em 2023, a Telebras atualizou suas diretrizes estratégicas ao aprovar o Plano Estratégico Institucional para o período de 2024 a 2028. Essa atualização visa direcionar os esforços essenciais para a implementação das políticas públicas de telecomunicações. Com essas ações, espera-se atender às expectativas da sociedade, bem como satisfazer as demandas dos clientes e dos acionistas, tanto majoritários quanto minoritários</w:t>
      </w:r>
      <w:r w:rsidR="00485275" w:rsidRPr="00485275">
        <w:rPr>
          <w:sz w:val="22"/>
        </w:rPr>
        <w:t xml:space="preserve">. </w:t>
      </w:r>
    </w:p>
    <w:p w14:paraId="462F938F" w14:textId="6AFEA733" w:rsidR="0005617E" w:rsidRDefault="00B26549" w:rsidP="00E247E0">
      <w:pPr>
        <w:pStyle w:val="Ttulo1"/>
        <w:ind w:left="567" w:hanging="567"/>
      </w:pPr>
      <w:bookmarkStart w:id="5" w:name="_Toc161319430"/>
      <w:bookmarkEnd w:id="3"/>
      <w:r w:rsidRPr="00144C89">
        <w:lastRenderedPageBreak/>
        <w:t>Finanças</w:t>
      </w:r>
      <w:bookmarkEnd w:id="5"/>
    </w:p>
    <w:p w14:paraId="6FC7FB97" w14:textId="7B32C16A" w:rsidR="003E0246" w:rsidRPr="00087F48" w:rsidRDefault="003E0246" w:rsidP="00087F48">
      <w:pPr>
        <w:spacing w:before="120"/>
        <w:rPr>
          <w:b/>
          <w:sz w:val="22"/>
          <w:szCs w:val="22"/>
        </w:rPr>
      </w:pPr>
      <w:r w:rsidRPr="00087F48">
        <w:rPr>
          <w:b/>
          <w:sz w:val="22"/>
          <w:szCs w:val="22"/>
        </w:rPr>
        <w:t xml:space="preserve">Reclassificação dos Recursos Orçamentários Recebidos para Investimento (Aplicação no Ativo Imobilizado) e Reapresentação das Demonstrações Contábeis dos Exercícios de 2020,2021 e 2023. </w:t>
      </w:r>
    </w:p>
    <w:p w14:paraId="6E1442F3" w14:textId="1AACC411" w:rsidR="003E0246" w:rsidRPr="00087F48" w:rsidRDefault="003E0246" w:rsidP="00087F48">
      <w:pPr>
        <w:spacing w:line="240" w:lineRule="auto"/>
        <w:rPr>
          <w:rFonts w:eastAsia="Calibri"/>
          <w:sz w:val="22"/>
        </w:rPr>
      </w:pPr>
      <w:r w:rsidRPr="00087F48">
        <w:rPr>
          <w:rFonts w:eastAsia="Calibri"/>
          <w:sz w:val="22"/>
        </w:rPr>
        <w:t xml:space="preserve">Em fato relevante divulgado em 18 de dezembro de 2019 (Aprovação do Projeto de Lei do Orçamento anual 2020 pelo Congresso Nacional), a Telecomunicações Brasileiras S.A. (“Telebras” ou “Companhia”) (B3: TELB3 &amp; TELB4) informou ao mercado que passaria à condição de empresa estatal dependente do Orçamento Fiscal e da Seguridade Social (OFSS). </w:t>
      </w:r>
    </w:p>
    <w:p w14:paraId="70FDC530" w14:textId="1DD29336" w:rsidR="003E0246" w:rsidRPr="00087F48" w:rsidRDefault="003E0246" w:rsidP="00087F48">
      <w:pPr>
        <w:spacing w:line="240" w:lineRule="auto"/>
        <w:rPr>
          <w:rFonts w:eastAsia="Calibri"/>
          <w:sz w:val="22"/>
        </w:rPr>
      </w:pPr>
      <w:r w:rsidRPr="00087F48">
        <w:rPr>
          <w:rFonts w:eastAsia="Calibri"/>
          <w:sz w:val="22"/>
        </w:rPr>
        <w:t xml:space="preserve">Em 2020, em observância à Lei Orçamentária Anual, às Leis números 4.320/64, 6.404/76, 13.303/16, a companhia informou ao Acionista Controlador, sem que houvesse contraposição, que, na condição de empresa estatal dependente, contabilizaria os recursos orçamentários recebidos como Outras Receitas Operacionais, nos termos da Norma nº 07 do Comitê de pronunciamentos Contábeis (CPC 07). </w:t>
      </w:r>
    </w:p>
    <w:p w14:paraId="78E5B3C6" w14:textId="1BB809CB" w:rsidR="003E0246" w:rsidRPr="00087F48" w:rsidRDefault="003E0246" w:rsidP="00087F48">
      <w:pPr>
        <w:spacing w:line="240" w:lineRule="auto"/>
        <w:rPr>
          <w:rFonts w:eastAsia="Calibri"/>
          <w:sz w:val="22"/>
        </w:rPr>
      </w:pPr>
      <w:r w:rsidRPr="00087F48">
        <w:rPr>
          <w:rFonts w:eastAsia="Calibri"/>
          <w:sz w:val="22"/>
        </w:rPr>
        <w:t>Assim, em novo Fato Relevante publicado em 25 de maio de 2020, a Telebras comunicou ao mercado que os recursos recebidos na forma de subvenções orçamentárias seriam reconhecidos de acordo com a norma contábil CPC 07, ou sejam, no resultado da Companhia, como Outras Receitas Operacionais.</w:t>
      </w:r>
    </w:p>
    <w:p w14:paraId="5CC91A9D" w14:textId="29DD7BE2" w:rsidR="003E0246" w:rsidRPr="00087F48" w:rsidRDefault="003E0246" w:rsidP="00087F48">
      <w:pPr>
        <w:spacing w:line="240" w:lineRule="auto"/>
        <w:rPr>
          <w:rFonts w:eastAsia="Calibri"/>
          <w:sz w:val="22"/>
        </w:rPr>
      </w:pPr>
      <w:r w:rsidRPr="00087F48">
        <w:rPr>
          <w:rFonts w:eastAsia="Calibri"/>
          <w:sz w:val="22"/>
        </w:rPr>
        <w:t>Todavia, no ano de 2023, a União, na qualidade de Acionista Controlador, por meio do parecer da Secretaria de Tesouro Nacional que aprovou as Demonstrações Contábeis referente ao exercício social de 2022, recomendou, para fins de adequação da contabilidade societária e garantir maior precisão na caracterização dos repasses, que a Companhia passasse a reconhecer os recursos orçamentários transferidos para fins de investimentos (transferências de capital – ativo imobilizado) como Adiantamentos para Futuro Aumento de Capital – AFAC. A alteração resultará em uma informação mais confiável e mais relevante nas demonstrações contábeis, uma vez que, esta forma de reconhecimento apresenta de forma mais adequada a essência da operação para a Companhia.</w:t>
      </w:r>
    </w:p>
    <w:p w14:paraId="16D9403F" w14:textId="39BB369A" w:rsidR="003E0246" w:rsidRPr="00087F48" w:rsidRDefault="003E0246" w:rsidP="00087F48">
      <w:pPr>
        <w:spacing w:line="240" w:lineRule="auto"/>
        <w:rPr>
          <w:rFonts w:eastAsia="Calibri"/>
          <w:sz w:val="22"/>
        </w:rPr>
      </w:pPr>
      <w:r w:rsidRPr="00087F48">
        <w:rPr>
          <w:rFonts w:eastAsia="Calibri"/>
          <w:sz w:val="22"/>
        </w:rPr>
        <w:t xml:space="preserve">Em decorrência dos eventos acima relatados e após análise da Administração, esta decidiu por alterar a política contábil relativa aos recebimentos dos recursos orçamentários destinados à aplicação no pagamento de bens do ativo imobilizado (Subvenções para Investimento), que até o terceiro trimestre de 2023 vinham sendo reconhecidos no resultado da Telebras. Tais recebimentos passaram então a ser reconhecidos como Adiantamento para Futuro Aumento de Capital no “Passivo Exigível”. As demais transferências correntes para o pagamento de pessoal e outros custeios, continuarão sendo classificadas como “Outras Receitas Operacionais”. </w:t>
      </w:r>
    </w:p>
    <w:p w14:paraId="52595E0C" w14:textId="623EA478" w:rsidR="003E0246" w:rsidRPr="00087F48" w:rsidRDefault="003E0246" w:rsidP="00087F48">
      <w:pPr>
        <w:spacing w:line="240" w:lineRule="auto"/>
        <w:rPr>
          <w:rFonts w:eastAsia="Calibri"/>
          <w:sz w:val="22"/>
        </w:rPr>
      </w:pPr>
      <w:r w:rsidRPr="00087F48">
        <w:rPr>
          <w:rFonts w:eastAsia="Calibri"/>
          <w:sz w:val="22"/>
        </w:rPr>
        <w:t xml:space="preserve">Considerando o exposto e a recomendação de modificação da política contábil anteriormente adotada, a Companhia informa que fará a reapresentação retrospectiva das demonstrações financeiras dos exercícios de 2020, 2021 e 2022 nas Demonstrações Contábeis do encerramento de 2023, conforme determina o CPC 23, que trata de Políticas Contábeis, Mudança de Estimativa e Retificação de Erro, de forma a atender as Características qualitativas da informação contábil financeira útil e o melhor entendimento das operações da Companhia. </w:t>
      </w:r>
    </w:p>
    <w:p w14:paraId="4979E11A" w14:textId="50FFF879" w:rsidR="003E0246" w:rsidRPr="00087F48" w:rsidRDefault="003E0246" w:rsidP="00087F48">
      <w:pPr>
        <w:spacing w:line="240" w:lineRule="auto"/>
        <w:rPr>
          <w:rFonts w:eastAsia="Calibri"/>
          <w:sz w:val="22"/>
        </w:rPr>
      </w:pPr>
      <w:r w:rsidRPr="00087F48">
        <w:rPr>
          <w:rFonts w:eastAsia="Calibri"/>
          <w:sz w:val="22"/>
        </w:rPr>
        <w:t>O impacto financeiro da reapresentação das demonstrações contábeis, que afetarão o passivo exigível não circulante e o patrimônio líquido está apresentado no quadro a seguir.</w:t>
      </w:r>
    </w:p>
    <w:p w14:paraId="06EC287B" w14:textId="77777777" w:rsidR="003E0246" w:rsidRDefault="003E0246" w:rsidP="00087F48">
      <w:pPr>
        <w:spacing w:before="120"/>
      </w:pPr>
    </w:p>
    <w:tbl>
      <w:tblPr>
        <w:tblW w:w="5000" w:type="pct"/>
        <w:tblCellMar>
          <w:left w:w="70" w:type="dxa"/>
          <w:right w:w="70" w:type="dxa"/>
        </w:tblCellMar>
        <w:tblLook w:val="04A0" w:firstRow="1" w:lastRow="0" w:firstColumn="1" w:lastColumn="0" w:noHBand="0" w:noVBand="1"/>
      </w:tblPr>
      <w:tblGrid>
        <w:gridCol w:w="4596"/>
        <w:gridCol w:w="1584"/>
        <w:gridCol w:w="1441"/>
        <w:gridCol w:w="1441"/>
      </w:tblGrid>
      <w:tr w:rsidR="003E0246" w:rsidRPr="003E0246" w14:paraId="61D186C2" w14:textId="77777777" w:rsidTr="003E0246">
        <w:trPr>
          <w:trHeight w:val="238"/>
        </w:trPr>
        <w:tc>
          <w:tcPr>
            <w:tcW w:w="254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5F390D1" w14:textId="77777777" w:rsidR="003E0246" w:rsidRPr="003E0246" w:rsidRDefault="003E0246" w:rsidP="003E0246">
            <w:pPr>
              <w:tabs>
                <w:tab w:val="clear" w:pos="851"/>
              </w:tabs>
              <w:spacing w:before="0" w:after="0" w:line="240" w:lineRule="auto"/>
              <w:jc w:val="left"/>
              <w:rPr>
                <w:rFonts w:ascii="Arial" w:hAnsi="Arial" w:cs="Arial"/>
                <w:b/>
                <w:color w:val="000000"/>
                <w:sz w:val="18"/>
                <w:szCs w:val="18"/>
                <w:lang w:eastAsia="pt-BR"/>
              </w:rPr>
            </w:pPr>
            <w:r w:rsidRPr="003E0246">
              <w:rPr>
                <w:rFonts w:ascii="Arial" w:hAnsi="Arial" w:cs="Arial"/>
                <w:b/>
                <w:color w:val="000000"/>
                <w:sz w:val="18"/>
                <w:szCs w:val="18"/>
                <w:lang w:eastAsia="pt-BR"/>
              </w:rPr>
              <w:lastRenderedPageBreak/>
              <w:t>Rubricas do Balanço Patrimonial</w:t>
            </w:r>
          </w:p>
        </w:tc>
        <w:tc>
          <w:tcPr>
            <w:tcW w:w="880" w:type="pct"/>
            <w:tcBorders>
              <w:top w:val="single" w:sz="4" w:space="0" w:color="auto"/>
              <w:left w:val="nil"/>
              <w:bottom w:val="single" w:sz="4" w:space="0" w:color="auto"/>
              <w:right w:val="single" w:sz="4" w:space="0" w:color="auto"/>
            </w:tcBorders>
            <w:shd w:val="clear" w:color="auto" w:fill="auto"/>
            <w:vAlign w:val="center"/>
            <w:hideMark/>
          </w:tcPr>
          <w:p w14:paraId="7C078DAB" w14:textId="77777777" w:rsidR="003E0246" w:rsidRPr="003E0246" w:rsidRDefault="003E0246" w:rsidP="003E0246">
            <w:pPr>
              <w:tabs>
                <w:tab w:val="clear" w:pos="851"/>
              </w:tabs>
              <w:spacing w:before="0" w:after="0" w:line="240" w:lineRule="auto"/>
              <w:jc w:val="center"/>
              <w:rPr>
                <w:rFonts w:ascii="Arial" w:hAnsi="Arial" w:cs="Arial"/>
                <w:b/>
                <w:color w:val="000000"/>
                <w:sz w:val="18"/>
                <w:szCs w:val="18"/>
                <w:lang w:eastAsia="pt-BR"/>
              </w:rPr>
            </w:pPr>
            <w:r w:rsidRPr="003E0246">
              <w:rPr>
                <w:rFonts w:ascii="Arial" w:hAnsi="Arial" w:cs="Arial"/>
                <w:b/>
                <w:color w:val="000000"/>
                <w:sz w:val="18"/>
                <w:szCs w:val="18"/>
                <w:lang w:eastAsia="pt-BR"/>
              </w:rPr>
              <w:t>Recursos Orçamentários Recebidos e Aplicados no Ativo Imobilizado</w:t>
            </w:r>
          </w:p>
        </w:tc>
        <w:tc>
          <w:tcPr>
            <w:tcW w:w="789" w:type="pct"/>
            <w:tcBorders>
              <w:top w:val="single" w:sz="4" w:space="0" w:color="auto"/>
              <w:left w:val="nil"/>
              <w:bottom w:val="single" w:sz="4" w:space="0" w:color="auto"/>
              <w:right w:val="single" w:sz="4" w:space="0" w:color="auto"/>
            </w:tcBorders>
            <w:shd w:val="clear" w:color="auto" w:fill="auto"/>
            <w:vAlign w:val="center"/>
            <w:hideMark/>
          </w:tcPr>
          <w:p w14:paraId="48D2E0F7" w14:textId="77777777" w:rsidR="003E0246" w:rsidRPr="003E0246" w:rsidRDefault="003E0246" w:rsidP="003E0246">
            <w:pPr>
              <w:tabs>
                <w:tab w:val="clear" w:pos="851"/>
              </w:tabs>
              <w:spacing w:before="0" w:after="0" w:line="240" w:lineRule="auto"/>
              <w:jc w:val="center"/>
              <w:rPr>
                <w:rFonts w:ascii="Arial" w:hAnsi="Arial" w:cs="Arial"/>
                <w:b/>
                <w:color w:val="000000"/>
                <w:sz w:val="18"/>
                <w:szCs w:val="18"/>
                <w:lang w:eastAsia="pt-BR"/>
              </w:rPr>
            </w:pPr>
            <w:r w:rsidRPr="003E0246">
              <w:rPr>
                <w:rFonts w:ascii="Arial" w:hAnsi="Arial" w:cs="Arial"/>
                <w:b/>
                <w:color w:val="000000"/>
                <w:sz w:val="18"/>
                <w:szCs w:val="18"/>
                <w:lang w:eastAsia="pt-BR"/>
              </w:rPr>
              <w:t>Juros sobre Recursos Recebidos (Atualizado pela SELIC)</w:t>
            </w:r>
          </w:p>
        </w:tc>
        <w:tc>
          <w:tcPr>
            <w:tcW w:w="789" w:type="pct"/>
            <w:tcBorders>
              <w:top w:val="single" w:sz="4" w:space="0" w:color="auto"/>
              <w:left w:val="nil"/>
              <w:bottom w:val="single" w:sz="4" w:space="0" w:color="auto"/>
              <w:right w:val="single" w:sz="4" w:space="0" w:color="auto"/>
            </w:tcBorders>
            <w:shd w:val="clear" w:color="auto" w:fill="auto"/>
            <w:vAlign w:val="center"/>
            <w:hideMark/>
          </w:tcPr>
          <w:p w14:paraId="5D0D49B5" w14:textId="77777777" w:rsidR="003E0246" w:rsidRPr="003E0246" w:rsidRDefault="003E0246" w:rsidP="003E0246">
            <w:pPr>
              <w:tabs>
                <w:tab w:val="clear" w:pos="851"/>
              </w:tabs>
              <w:spacing w:before="0" w:after="0" w:line="240" w:lineRule="auto"/>
              <w:jc w:val="center"/>
              <w:rPr>
                <w:rFonts w:ascii="Arial" w:hAnsi="Arial" w:cs="Arial"/>
                <w:b/>
                <w:color w:val="000000"/>
                <w:sz w:val="18"/>
                <w:szCs w:val="18"/>
                <w:lang w:eastAsia="pt-BR"/>
              </w:rPr>
            </w:pPr>
            <w:r w:rsidRPr="003E0246">
              <w:rPr>
                <w:rFonts w:ascii="Arial" w:hAnsi="Arial" w:cs="Arial"/>
                <w:b/>
                <w:color w:val="000000"/>
                <w:sz w:val="18"/>
                <w:szCs w:val="18"/>
                <w:lang w:eastAsia="pt-BR"/>
              </w:rPr>
              <w:t>Total</w:t>
            </w:r>
          </w:p>
        </w:tc>
      </w:tr>
      <w:tr w:rsidR="003E0246" w:rsidRPr="003E0246" w14:paraId="3C204487" w14:textId="77777777" w:rsidTr="003E0246">
        <w:trPr>
          <w:trHeight w:val="238"/>
        </w:trPr>
        <w:tc>
          <w:tcPr>
            <w:tcW w:w="2542" w:type="pct"/>
            <w:tcBorders>
              <w:top w:val="nil"/>
              <w:left w:val="single" w:sz="4" w:space="0" w:color="auto"/>
              <w:bottom w:val="single" w:sz="4" w:space="0" w:color="auto"/>
              <w:right w:val="single" w:sz="4" w:space="0" w:color="auto"/>
            </w:tcBorders>
            <w:shd w:val="clear" w:color="auto" w:fill="auto"/>
            <w:noWrap/>
            <w:vAlign w:val="bottom"/>
            <w:hideMark/>
          </w:tcPr>
          <w:p w14:paraId="3E2BB0CB" w14:textId="77777777" w:rsidR="003E0246" w:rsidRPr="003E0246" w:rsidRDefault="003E0246" w:rsidP="003E0246">
            <w:pPr>
              <w:tabs>
                <w:tab w:val="clear" w:pos="851"/>
              </w:tabs>
              <w:spacing w:before="0" w:after="0" w:line="240" w:lineRule="auto"/>
              <w:jc w:val="left"/>
              <w:rPr>
                <w:rFonts w:ascii="Arial" w:hAnsi="Arial" w:cs="Arial"/>
                <w:color w:val="000000"/>
                <w:sz w:val="18"/>
                <w:szCs w:val="18"/>
                <w:lang w:eastAsia="pt-BR"/>
              </w:rPr>
            </w:pPr>
            <w:r w:rsidRPr="003E0246">
              <w:rPr>
                <w:rFonts w:ascii="Arial" w:hAnsi="Arial" w:cs="Arial"/>
                <w:color w:val="000000"/>
                <w:sz w:val="18"/>
                <w:szCs w:val="18"/>
                <w:lang w:eastAsia="pt-BR"/>
              </w:rPr>
              <w:t>Passivo Exigível Não Circulante e Patrimônio Líquido</w:t>
            </w:r>
          </w:p>
        </w:tc>
        <w:tc>
          <w:tcPr>
            <w:tcW w:w="880" w:type="pct"/>
            <w:tcBorders>
              <w:top w:val="nil"/>
              <w:left w:val="nil"/>
              <w:bottom w:val="single" w:sz="4" w:space="0" w:color="auto"/>
              <w:right w:val="single" w:sz="4" w:space="0" w:color="auto"/>
            </w:tcBorders>
            <w:shd w:val="clear" w:color="auto" w:fill="auto"/>
            <w:noWrap/>
            <w:vAlign w:val="bottom"/>
            <w:hideMark/>
          </w:tcPr>
          <w:p w14:paraId="2D2A404D"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 xml:space="preserve">               95.550 </w:t>
            </w:r>
          </w:p>
        </w:tc>
        <w:tc>
          <w:tcPr>
            <w:tcW w:w="789" w:type="pct"/>
            <w:tcBorders>
              <w:top w:val="nil"/>
              <w:left w:val="nil"/>
              <w:bottom w:val="single" w:sz="4" w:space="0" w:color="auto"/>
              <w:right w:val="single" w:sz="4" w:space="0" w:color="auto"/>
            </w:tcBorders>
            <w:shd w:val="clear" w:color="auto" w:fill="auto"/>
            <w:noWrap/>
            <w:vAlign w:val="bottom"/>
            <w:hideMark/>
          </w:tcPr>
          <w:p w14:paraId="48F19AAC"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 xml:space="preserve">               12.745 </w:t>
            </w:r>
          </w:p>
        </w:tc>
        <w:tc>
          <w:tcPr>
            <w:tcW w:w="789" w:type="pct"/>
            <w:tcBorders>
              <w:top w:val="nil"/>
              <w:left w:val="nil"/>
              <w:bottom w:val="single" w:sz="4" w:space="0" w:color="auto"/>
              <w:right w:val="single" w:sz="4" w:space="0" w:color="auto"/>
            </w:tcBorders>
            <w:shd w:val="clear" w:color="auto" w:fill="auto"/>
            <w:noWrap/>
            <w:vAlign w:val="bottom"/>
            <w:hideMark/>
          </w:tcPr>
          <w:p w14:paraId="77C78402"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 xml:space="preserve">             108.295 </w:t>
            </w:r>
          </w:p>
        </w:tc>
      </w:tr>
    </w:tbl>
    <w:p w14:paraId="5997C0F2" w14:textId="7E76A652" w:rsidR="007E748F" w:rsidRPr="00144C89" w:rsidRDefault="007E748F" w:rsidP="00B31BE8">
      <w:pPr>
        <w:pStyle w:val="Ttulo2"/>
        <w:tabs>
          <w:tab w:val="left" w:pos="1843"/>
        </w:tabs>
        <w:spacing w:before="240" w:after="240" w:line="276" w:lineRule="auto"/>
        <w:ind w:left="567" w:hanging="567"/>
      </w:pPr>
      <w:bookmarkStart w:id="6" w:name="_Toc159256953"/>
      <w:bookmarkStart w:id="7" w:name="_Toc159258211"/>
      <w:bookmarkStart w:id="8" w:name="_Toc161319431"/>
      <w:bookmarkEnd w:id="6"/>
      <w:bookmarkEnd w:id="7"/>
      <w:r w:rsidRPr="00144C89">
        <w:t>Estrutura Patrimonial da Companhia – Principais Rubricas</w:t>
      </w:r>
      <w:bookmarkEnd w:id="8"/>
    </w:p>
    <w:p w14:paraId="2CB3D29F" w14:textId="7DBF58F2" w:rsidR="003E0246" w:rsidRDefault="003E0246" w:rsidP="00087F48">
      <w:pPr>
        <w:spacing w:line="240" w:lineRule="auto"/>
        <w:rPr>
          <w:rFonts w:eastAsia="Arial"/>
          <w:sz w:val="22"/>
        </w:rPr>
      </w:pPr>
      <w:r w:rsidRPr="003E0246">
        <w:rPr>
          <w:rFonts w:eastAsia="Arial"/>
          <w:sz w:val="22"/>
        </w:rPr>
        <w:t xml:space="preserve">O comportamento das principais rubricas patrimoniais entre os anos de 2021 </w:t>
      </w:r>
      <w:proofErr w:type="gramStart"/>
      <w:r w:rsidRPr="003E0246">
        <w:rPr>
          <w:rFonts w:eastAsia="Arial"/>
          <w:sz w:val="22"/>
        </w:rPr>
        <w:t>a</w:t>
      </w:r>
      <w:proofErr w:type="gramEnd"/>
      <w:r w:rsidRPr="003E0246">
        <w:rPr>
          <w:rFonts w:eastAsia="Arial"/>
          <w:sz w:val="22"/>
        </w:rPr>
        <w:t xml:space="preserve"> 2023 e as explicações acerca das principais variações estão apresentados a seguir: </w:t>
      </w:r>
    </w:p>
    <w:p w14:paraId="30C4396C" w14:textId="77777777" w:rsidR="003E0246" w:rsidRDefault="003E0246" w:rsidP="00087F48">
      <w:pPr>
        <w:spacing w:line="240" w:lineRule="auto"/>
        <w:rPr>
          <w:rFonts w:eastAsia="Arial"/>
          <w:sz w:val="22"/>
        </w:rPr>
      </w:pPr>
    </w:p>
    <w:tbl>
      <w:tblPr>
        <w:tblW w:w="4982" w:type="pct"/>
        <w:tblCellMar>
          <w:left w:w="70" w:type="dxa"/>
          <w:right w:w="70" w:type="dxa"/>
        </w:tblCellMar>
        <w:tblLook w:val="04A0" w:firstRow="1" w:lastRow="0" w:firstColumn="1" w:lastColumn="0" w:noHBand="0" w:noVBand="1"/>
      </w:tblPr>
      <w:tblGrid>
        <w:gridCol w:w="2022"/>
        <w:gridCol w:w="812"/>
        <w:gridCol w:w="736"/>
        <w:gridCol w:w="616"/>
        <w:gridCol w:w="616"/>
        <w:gridCol w:w="812"/>
        <w:gridCol w:w="736"/>
        <w:gridCol w:w="616"/>
        <w:gridCol w:w="616"/>
        <w:gridCol w:w="812"/>
        <w:gridCol w:w="645"/>
      </w:tblGrid>
      <w:tr w:rsidR="00457198" w:rsidRPr="00457198" w14:paraId="46239B73" w14:textId="77777777" w:rsidTr="00087F48">
        <w:trPr>
          <w:trHeight w:val="258"/>
        </w:trPr>
        <w:tc>
          <w:tcPr>
            <w:tcW w:w="1118" w:type="pct"/>
            <w:tcBorders>
              <w:top w:val="nil"/>
              <w:left w:val="nil"/>
              <w:bottom w:val="nil"/>
              <w:right w:val="nil"/>
            </w:tcBorders>
            <w:shd w:val="clear" w:color="auto" w:fill="auto"/>
            <w:noWrap/>
            <w:vAlign w:val="center"/>
            <w:hideMark/>
          </w:tcPr>
          <w:p w14:paraId="029A73A5" w14:textId="77777777" w:rsidR="003E0246" w:rsidRPr="00087F48" w:rsidRDefault="003E0246" w:rsidP="003E0246">
            <w:pPr>
              <w:tabs>
                <w:tab w:val="clear" w:pos="851"/>
              </w:tabs>
              <w:spacing w:before="0" w:after="0" w:line="240" w:lineRule="auto"/>
              <w:jc w:val="left"/>
              <w:rPr>
                <w:rFonts w:ascii="Arial" w:hAnsi="Arial" w:cs="Arial"/>
                <w:b/>
                <w:bCs/>
                <w:color w:val="538DD5"/>
                <w:sz w:val="14"/>
                <w:szCs w:val="16"/>
                <w:lang w:eastAsia="pt-BR"/>
              </w:rPr>
            </w:pPr>
            <w:r w:rsidRPr="00087F48">
              <w:rPr>
                <w:rFonts w:ascii="Arial" w:hAnsi="Arial" w:cs="Arial"/>
                <w:b/>
                <w:bCs/>
                <w:color w:val="538DD5"/>
                <w:sz w:val="14"/>
                <w:szCs w:val="16"/>
                <w:lang w:eastAsia="pt-BR"/>
              </w:rPr>
              <w:t>R$ mil</w:t>
            </w:r>
          </w:p>
        </w:tc>
        <w:tc>
          <w:tcPr>
            <w:tcW w:w="1196" w:type="pct"/>
            <w:gridSpan w:val="3"/>
            <w:tcBorders>
              <w:top w:val="nil"/>
              <w:left w:val="nil"/>
              <w:bottom w:val="single" w:sz="8" w:space="0" w:color="8DB4E2"/>
              <w:right w:val="nil"/>
            </w:tcBorders>
            <w:shd w:val="clear" w:color="auto" w:fill="auto"/>
            <w:noWrap/>
            <w:vAlign w:val="center"/>
            <w:hideMark/>
          </w:tcPr>
          <w:p w14:paraId="7A532115" w14:textId="77777777" w:rsidR="003E0246" w:rsidRPr="00087F48" w:rsidRDefault="003E0246" w:rsidP="003E0246">
            <w:pPr>
              <w:tabs>
                <w:tab w:val="clear" w:pos="851"/>
              </w:tabs>
              <w:spacing w:before="0" w:after="0" w:line="240" w:lineRule="auto"/>
              <w:jc w:val="left"/>
              <w:rPr>
                <w:rFonts w:ascii="Arial" w:hAnsi="Arial" w:cs="Arial"/>
                <w:b/>
                <w:bCs/>
                <w:color w:val="538DD5"/>
                <w:sz w:val="14"/>
                <w:szCs w:val="16"/>
                <w:lang w:eastAsia="pt-BR"/>
              </w:rPr>
            </w:pPr>
            <w:r w:rsidRPr="00087F48">
              <w:rPr>
                <w:rFonts w:ascii="Arial" w:hAnsi="Arial" w:cs="Arial"/>
                <w:b/>
                <w:bCs/>
                <w:color w:val="538DD5"/>
                <w:sz w:val="14"/>
                <w:szCs w:val="16"/>
                <w:lang w:eastAsia="pt-BR"/>
              </w:rPr>
              <w:t>Exercícios findos em:</w:t>
            </w:r>
          </w:p>
        </w:tc>
        <w:tc>
          <w:tcPr>
            <w:tcW w:w="341" w:type="pct"/>
            <w:tcBorders>
              <w:top w:val="nil"/>
              <w:left w:val="nil"/>
              <w:bottom w:val="nil"/>
              <w:right w:val="nil"/>
            </w:tcBorders>
            <w:shd w:val="clear" w:color="auto" w:fill="auto"/>
            <w:noWrap/>
            <w:vAlign w:val="center"/>
            <w:hideMark/>
          </w:tcPr>
          <w:p w14:paraId="62291FE9" w14:textId="77777777" w:rsidR="003E0246" w:rsidRPr="00087F48" w:rsidRDefault="003E0246" w:rsidP="003E0246">
            <w:pPr>
              <w:tabs>
                <w:tab w:val="clear" w:pos="851"/>
              </w:tabs>
              <w:spacing w:before="0" w:after="0" w:line="240" w:lineRule="auto"/>
              <w:jc w:val="left"/>
              <w:rPr>
                <w:rFonts w:ascii="Arial" w:hAnsi="Arial" w:cs="Arial"/>
                <w:b/>
                <w:bCs/>
                <w:color w:val="538DD5"/>
                <w:sz w:val="14"/>
                <w:szCs w:val="16"/>
                <w:lang w:eastAsia="pt-BR"/>
              </w:rPr>
            </w:pPr>
          </w:p>
        </w:tc>
        <w:tc>
          <w:tcPr>
            <w:tcW w:w="449" w:type="pct"/>
            <w:tcBorders>
              <w:top w:val="nil"/>
              <w:left w:val="nil"/>
              <w:bottom w:val="nil"/>
              <w:right w:val="nil"/>
            </w:tcBorders>
            <w:shd w:val="clear" w:color="auto" w:fill="auto"/>
            <w:noWrap/>
            <w:vAlign w:val="bottom"/>
            <w:hideMark/>
          </w:tcPr>
          <w:p w14:paraId="5EBA132C" w14:textId="77777777" w:rsidR="003E0246" w:rsidRPr="00087F48" w:rsidRDefault="003E0246" w:rsidP="003E0246">
            <w:pPr>
              <w:tabs>
                <w:tab w:val="clear" w:pos="851"/>
              </w:tabs>
              <w:spacing w:before="0" w:after="0" w:line="240" w:lineRule="auto"/>
              <w:jc w:val="left"/>
              <w:rPr>
                <w:rFonts w:ascii="Times New Roman" w:hAnsi="Times New Roman"/>
                <w:color w:val="auto"/>
                <w:sz w:val="14"/>
                <w:szCs w:val="20"/>
                <w:lang w:eastAsia="pt-BR"/>
              </w:rPr>
            </w:pPr>
          </w:p>
        </w:tc>
        <w:tc>
          <w:tcPr>
            <w:tcW w:w="407" w:type="pct"/>
            <w:tcBorders>
              <w:top w:val="nil"/>
              <w:left w:val="nil"/>
              <w:bottom w:val="nil"/>
              <w:right w:val="nil"/>
            </w:tcBorders>
            <w:shd w:val="clear" w:color="auto" w:fill="auto"/>
            <w:noWrap/>
            <w:vAlign w:val="bottom"/>
            <w:hideMark/>
          </w:tcPr>
          <w:p w14:paraId="237E5D8C" w14:textId="77777777" w:rsidR="003E0246" w:rsidRPr="00087F48" w:rsidRDefault="003E0246" w:rsidP="003E0246">
            <w:pPr>
              <w:tabs>
                <w:tab w:val="clear" w:pos="851"/>
              </w:tabs>
              <w:spacing w:before="0" w:after="0" w:line="240" w:lineRule="auto"/>
              <w:jc w:val="left"/>
              <w:rPr>
                <w:rFonts w:ascii="Times New Roman" w:hAnsi="Times New Roman"/>
                <w:color w:val="auto"/>
                <w:sz w:val="14"/>
                <w:szCs w:val="20"/>
                <w:lang w:eastAsia="pt-BR"/>
              </w:rPr>
            </w:pPr>
          </w:p>
        </w:tc>
        <w:tc>
          <w:tcPr>
            <w:tcW w:w="341" w:type="pct"/>
            <w:tcBorders>
              <w:top w:val="nil"/>
              <w:left w:val="nil"/>
              <w:bottom w:val="nil"/>
              <w:right w:val="nil"/>
            </w:tcBorders>
            <w:shd w:val="clear" w:color="auto" w:fill="auto"/>
            <w:noWrap/>
            <w:vAlign w:val="bottom"/>
            <w:hideMark/>
          </w:tcPr>
          <w:p w14:paraId="41D7802D" w14:textId="77777777" w:rsidR="003E0246" w:rsidRPr="00087F48" w:rsidRDefault="003E0246" w:rsidP="003E0246">
            <w:pPr>
              <w:tabs>
                <w:tab w:val="clear" w:pos="851"/>
              </w:tabs>
              <w:spacing w:before="0" w:after="0" w:line="240" w:lineRule="auto"/>
              <w:jc w:val="left"/>
              <w:rPr>
                <w:rFonts w:ascii="Times New Roman" w:hAnsi="Times New Roman"/>
                <w:color w:val="auto"/>
                <w:sz w:val="14"/>
                <w:szCs w:val="20"/>
                <w:lang w:eastAsia="pt-BR"/>
              </w:rPr>
            </w:pPr>
          </w:p>
        </w:tc>
        <w:tc>
          <w:tcPr>
            <w:tcW w:w="341" w:type="pct"/>
            <w:tcBorders>
              <w:top w:val="nil"/>
              <w:left w:val="nil"/>
              <w:bottom w:val="single" w:sz="8" w:space="0" w:color="8DB4E2"/>
              <w:right w:val="nil"/>
            </w:tcBorders>
            <w:shd w:val="clear" w:color="auto" w:fill="auto"/>
            <w:noWrap/>
            <w:vAlign w:val="center"/>
            <w:hideMark/>
          </w:tcPr>
          <w:p w14:paraId="035D20A8" w14:textId="77777777" w:rsidR="003E0246" w:rsidRPr="00087F48" w:rsidRDefault="003E0246" w:rsidP="003E0246">
            <w:pPr>
              <w:tabs>
                <w:tab w:val="clear" w:pos="851"/>
              </w:tabs>
              <w:spacing w:before="0" w:after="0" w:line="240" w:lineRule="auto"/>
              <w:jc w:val="left"/>
              <w:rPr>
                <w:rFonts w:ascii="Arial" w:hAnsi="Arial" w:cs="Arial"/>
                <w:b/>
                <w:bCs/>
                <w:color w:val="538DD5"/>
                <w:sz w:val="14"/>
                <w:szCs w:val="16"/>
                <w:lang w:eastAsia="pt-BR"/>
              </w:rPr>
            </w:pPr>
            <w:r w:rsidRPr="00087F48">
              <w:rPr>
                <w:rFonts w:ascii="Arial" w:hAnsi="Arial" w:cs="Arial"/>
                <w:b/>
                <w:bCs/>
                <w:color w:val="538DD5"/>
                <w:sz w:val="14"/>
                <w:szCs w:val="16"/>
                <w:lang w:eastAsia="pt-BR"/>
              </w:rPr>
              <w:t> </w:t>
            </w:r>
          </w:p>
        </w:tc>
        <w:tc>
          <w:tcPr>
            <w:tcW w:w="449" w:type="pct"/>
            <w:tcBorders>
              <w:top w:val="nil"/>
              <w:left w:val="nil"/>
              <w:bottom w:val="single" w:sz="8" w:space="0" w:color="8DB4E2"/>
              <w:right w:val="nil"/>
            </w:tcBorders>
            <w:shd w:val="clear" w:color="auto" w:fill="auto"/>
            <w:noWrap/>
            <w:vAlign w:val="center"/>
            <w:hideMark/>
          </w:tcPr>
          <w:p w14:paraId="26BA8C7F" w14:textId="77777777" w:rsidR="003E0246" w:rsidRPr="00087F48" w:rsidRDefault="003E0246" w:rsidP="003E0246">
            <w:pPr>
              <w:tabs>
                <w:tab w:val="clear" w:pos="851"/>
              </w:tabs>
              <w:spacing w:before="0" w:after="0" w:line="240" w:lineRule="auto"/>
              <w:jc w:val="left"/>
              <w:rPr>
                <w:rFonts w:ascii="Arial" w:hAnsi="Arial" w:cs="Arial"/>
                <w:b/>
                <w:bCs/>
                <w:color w:val="538DD5"/>
                <w:sz w:val="14"/>
                <w:szCs w:val="16"/>
                <w:lang w:eastAsia="pt-BR"/>
              </w:rPr>
            </w:pPr>
            <w:r w:rsidRPr="00087F48">
              <w:rPr>
                <w:rFonts w:ascii="Arial" w:hAnsi="Arial" w:cs="Arial"/>
                <w:b/>
                <w:bCs/>
                <w:color w:val="538DD5"/>
                <w:sz w:val="14"/>
                <w:szCs w:val="16"/>
                <w:lang w:eastAsia="pt-BR"/>
              </w:rPr>
              <w:t> </w:t>
            </w:r>
          </w:p>
        </w:tc>
        <w:tc>
          <w:tcPr>
            <w:tcW w:w="360" w:type="pct"/>
            <w:tcBorders>
              <w:top w:val="nil"/>
              <w:left w:val="nil"/>
              <w:bottom w:val="nil"/>
              <w:right w:val="nil"/>
            </w:tcBorders>
            <w:shd w:val="clear" w:color="auto" w:fill="auto"/>
            <w:noWrap/>
            <w:vAlign w:val="bottom"/>
            <w:hideMark/>
          </w:tcPr>
          <w:p w14:paraId="5DACB834" w14:textId="77777777" w:rsidR="003E0246" w:rsidRPr="00087F48" w:rsidRDefault="003E0246" w:rsidP="003E0246">
            <w:pPr>
              <w:tabs>
                <w:tab w:val="clear" w:pos="851"/>
              </w:tabs>
              <w:spacing w:before="0" w:after="0" w:line="240" w:lineRule="auto"/>
              <w:jc w:val="left"/>
              <w:rPr>
                <w:rFonts w:ascii="Arial" w:hAnsi="Arial" w:cs="Arial"/>
                <w:b/>
                <w:bCs/>
                <w:color w:val="538DD5"/>
                <w:sz w:val="14"/>
                <w:szCs w:val="16"/>
                <w:lang w:eastAsia="pt-BR"/>
              </w:rPr>
            </w:pPr>
          </w:p>
        </w:tc>
      </w:tr>
      <w:tr w:rsidR="00457198" w:rsidRPr="00457198" w14:paraId="449482FB" w14:textId="77777777" w:rsidTr="00087F48">
        <w:trPr>
          <w:trHeight w:val="258"/>
        </w:trPr>
        <w:tc>
          <w:tcPr>
            <w:tcW w:w="1118" w:type="pct"/>
            <w:tcBorders>
              <w:top w:val="nil"/>
              <w:left w:val="nil"/>
              <w:bottom w:val="nil"/>
              <w:right w:val="nil"/>
            </w:tcBorders>
            <w:shd w:val="clear" w:color="auto" w:fill="auto"/>
            <w:noWrap/>
            <w:vAlign w:val="center"/>
            <w:hideMark/>
          </w:tcPr>
          <w:p w14:paraId="5F0F6E95" w14:textId="77777777" w:rsidR="003E0246" w:rsidRPr="00087F48" w:rsidRDefault="003E0246" w:rsidP="003E0246">
            <w:pPr>
              <w:tabs>
                <w:tab w:val="clear" w:pos="851"/>
              </w:tabs>
              <w:spacing w:before="0" w:after="0" w:line="240" w:lineRule="auto"/>
              <w:jc w:val="left"/>
              <w:rPr>
                <w:rFonts w:ascii="Times New Roman" w:hAnsi="Times New Roman"/>
                <w:color w:val="auto"/>
                <w:sz w:val="14"/>
                <w:szCs w:val="20"/>
                <w:lang w:eastAsia="pt-BR"/>
              </w:rPr>
            </w:pPr>
          </w:p>
        </w:tc>
        <w:tc>
          <w:tcPr>
            <w:tcW w:w="449" w:type="pct"/>
            <w:tcBorders>
              <w:top w:val="nil"/>
              <w:left w:val="nil"/>
              <w:bottom w:val="single" w:sz="8" w:space="0" w:color="8DB4E2"/>
              <w:right w:val="nil"/>
            </w:tcBorders>
            <w:shd w:val="clear" w:color="auto" w:fill="auto"/>
            <w:noWrap/>
            <w:vAlign w:val="center"/>
            <w:hideMark/>
          </w:tcPr>
          <w:p w14:paraId="6E1221DE" w14:textId="77777777" w:rsidR="003E0246" w:rsidRPr="00087F48" w:rsidRDefault="003E0246" w:rsidP="003E0246">
            <w:pPr>
              <w:tabs>
                <w:tab w:val="clear" w:pos="851"/>
              </w:tabs>
              <w:spacing w:before="0"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 </w:t>
            </w:r>
          </w:p>
        </w:tc>
        <w:tc>
          <w:tcPr>
            <w:tcW w:w="407" w:type="pct"/>
            <w:tcBorders>
              <w:top w:val="nil"/>
              <w:left w:val="nil"/>
              <w:bottom w:val="single" w:sz="8" w:space="0" w:color="8DB4E2"/>
              <w:right w:val="nil"/>
            </w:tcBorders>
            <w:shd w:val="clear" w:color="auto" w:fill="auto"/>
            <w:noWrap/>
            <w:vAlign w:val="center"/>
            <w:hideMark/>
          </w:tcPr>
          <w:p w14:paraId="48AA3663" w14:textId="77777777" w:rsidR="003E0246" w:rsidRPr="00087F48" w:rsidRDefault="003E0246" w:rsidP="003E0246">
            <w:pPr>
              <w:tabs>
                <w:tab w:val="clear" w:pos="851"/>
              </w:tabs>
              <w:spacing w:before="0"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 </w:t>
            </w:r>
          </w:p>
        </w:tc>
        <w:tc>
          <w:tcPr>
            <w:tcW w:w="341" w:type="pct"/>
            <w:tcBorders>
              <w:top w:val="nil"/>
              <w:left w:val="nil"/>
              <w:bottom w:val="single" w:sz="8" w:space="0" w:color="8DB4E2"/>
              <w:right w:val="nil"/>
            </w:tcBorders>
            <w:shd w:val="clear" w:color="auto" w:fill="auto"/>
            <w:noWrap/>
            <w:vAlign w:val="center"/>
            <w:hideMark/>
          </w:tcPr>
          <w:p w14:paraId="44F54DCE" w14:textId="77777777" w:rsidR="003E0246" w:rsidRPr="00087F48" w:rsidRDefault="003E0246" w:rsidP="003E0246">
            <w:pPr>
              <w:tabs>
                <w:tab w:val="clear" w:pos="851"/>
              </w:tabs>
              <w:spacing w:before="0"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 </w:t>
            </w:r>
          </w:p>
        </w:tc>
        <w:tc>
          <w:tcPr>
            <w:tcW w:w="341" w:type="pct"/>
            <w:tcBorders>
              <w:top w:val="single" w:sz="8" w:space="0" w:color="8DB4E2"/>
              <w:left w:val="nil"/>
              <w:bottom w:val="single" w:sz="8" w:space="0" w:color="8DB4E2"/>
              <w:right w:val="single" w:sz="8" w:space="0" w:color="8DB4E2"/>
            </w:tcBorders>
            <w:shd w:val="clear" w:color="auto" w:fill="auto"/>
            <w:noWrap/>
            <w:vAlign w:val="center"/>
            <w:hideMark/>
          </w:tcPr>
          <w:p w14:paraId="11B6A983" w14:textId="77777777" w:rsidR="003E0246" w:rsidRPr="00087F48" w:rsidRDefault="003E0246" w:rsidP="003E0246">
            <w:pPr>
              <w:tabs>
                <w:tab w:val="clear" w:pos="851"/>
              </w:tabs>
              <w:spacing w:before="0"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2023</w:t>
            </w:r>
          </w:p>
        </w:tc>
        <w:tc>
          <w:tcPr>
            <w:tcW w:w="449" w:type="pct"/>
            <w:tcBorders>
              <w:top w:val="single" w:sz="8" w:space="0" w:color="8DB4E2"/>
              <w:left w:val="nil"/>
              <w:bottom w:val="single" w:sz="8" w:space="0" w:color="8DB4E2"/>
              <w:right w:val="nil"/>
            </w:tcBorders>
            <w:shd w:val="clear" w:color="auto" w:fill="auto"/>
            <w:noWrap/>
            <w:vAlign w:val="center"/>
            <w:hideMark/>
          </w:tcPr>
          <w:p w14:paraId="2791B99E" w14:textId="77777777" w:rsidR="003E0246" w:rsidRPr="00087F48" w:rsidRDefault="003E0246" w:rsidP="003E0246">
            <w:pPr>
              <w:tabs>
                <w:tab w:val="clear" w:pos="851"/>
              </w:tabs>
              <w:spacing w:before="0"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 </w:t>
            </w:r>
          </w:p>
        </w:tc>
        <w:tc>
          <w:tcPr>
            <w:tcW w:w="407" w:type="pct"/>
            <w:tcBorders>
              <w:top w:val="single" w:sz="8" w:space="0" w:color="8DB4E2"/>
              <w:left w:val="nil"/>
              <w:bottom w:val="single" w:sz="8" w:space="0" w:color="8DB4E2"/>
              <w:right w:val="nil"/>
            </w:tcBorders>
            <w:shd w:val="clear" w:color="auto" w:fill="auto"/>
            <w:noWrap/>
            <w:vAlign w:val="center"/>
            <w:hideMark/>
          </w:tcPr>
          <w:p w14:paraId="1C8AB0A0" w14:textId="77777777" w:rsidR="003E0246" w:rsidRPr="00087F48" w:rsidRDefault="003E0246" w:rsidP="003E0246">
            <w:pPr>
              <w:tabs>
                <w:tab w:val="clear" w:pos="851"/>
              </w:tabs>
              <w:spacing w:before="0"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 </w:t>
            </w:r>
          </w:p>
        </w:tc>
        <w:tc>
          <w:tcPr>
            <w:tcW w:w="341" w:type="pct"/>
            <w:tcBorders>
              <w:top w:val="single" w:sz="8" w:space="0" w:color="8DB4E2"/>
              <w:left w:val="nil"/>
              <w:bottom w:val="single" w:sz="8" w:space="0" w:color="8DB4E2"/>
              <w:right w:val="nil"/>
            </w:tcBorders>
            <w:shd w:val="clear" w:color="auto" w:fill="auto"/>
            <w:noWrap/>
            <w:vAlign w:val="center"/>
            <w:hideMark/>
          </w:tcPr>
          <w:p w14:paraId="0FA6B5E1" w14:textId="77777777" w:rsidR="003E0246" w:rsidRPr="00087F48" w:rsidRDefault="003E0246" w:rsidP="003E0246">
            <w:pPr>
              <w:tabs>
                <w:tab w:val="clear" w:pos="851"/>
              </w:tabs>
              <w:spacing w:before="0"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 </w:t>
            </w:r>
          </w:p>
        </w:tc>
        <w:tc>
          <w:tcPr>
            <w:tcW w:w="341" w:type="pct"/>
            <w:tcBorders>
              <w:top w:val="nil"/>
              <w:left w:val="nil"/>
              <w:bottom w:val="single" w:sz="8" w:space="0" w:color="8DB4E2"/>
              <w:right w:val="single" w:sz="8" w:space="0" w:color="8DB4E2"/>
            </w:tcBorders>
            <w:shd w:val="clear" w:color="auto" w:fill="auto"/>
            <w:noWrap/>
            <w:vAlign w:val="center"/>
            <w:hideMark/>
          </w:tcPr>
          <w:p w14:paraId="099C44B8" w14:textId="77777777" w:rsidR="003E0246" w:rsidRPr="00087F48" w:rsidRDefault="003E0246" w:rsidP="003E0246">
            <w:pPr>
              <w:tabs>
                <w:tab w:val="clear" w:pos="851"/>
              </w:tabs>
              <w:spacing w:before="0"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2022</w:t>
            </w:r>
          </w:p>
        </w:tc>
        <w:tc>
          <w:tcPr>
            <w:tcW w:w="449" w:type="pct"/>
            <w:tcBorders>
              <w:top w:val="nil"/>
              <w:left w:val="nil"/>
              <w:bottom w:val="single" w:sz="8" w:space="0" w:color="8DB4E2"/>
              <w:right w:val="nil"/>
            </w:tcBorders>
            <w:shd w:val="clear" w:color="auto" w:fill="auto"/>
            <w:noWrap/>
            <w:vAlign w:val="center"/>
            <w:hideMark/>
          </w:tcPr>
          <w:p w14:paraId="4B05015D" w14:textId="77777777" w:rsidR="003E0246" w:rsidRPr="00087F48" w:rsidRDefault="003E0246" w:rsidP="003E0246">
            <w:pPr>
              <w:tabs>
                <w:tab w:val="clear" w:pos="851"/>
              </w:tabs>
              <w:spacing w:before="0"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 </w:t>
            </w:r>
          </w:p>
        </w:tc>
        <w:tc>
          <w:tcPr>
            <w:tcW w:w="360" w:type="pct"/>
            <w:tcBorders>
              <w:top w:val="single" w:sz="8" w:space="0" w:color="8DB4E2"/>
              <w:left w:val="nil"/>
              <w:bottom w:val="single" w:sz="8" w:space="0" w:color="8DB4E2"/>
              <w:right w:val="nil"/>
            </w:tcBorders>
            <w:shd w:val="clear" w:color="auto" w:fill="auto"/>
            <w:noWrap/>
            <w:vAlign w:val="center"/>
            <w:hideMark/>
          </w:tcPr>
          <w:p w14:paraId="1A12214F" w14:textId="77777777" w:rsidR="003E0246" w:rsidRPr="00087F48" w:rsidRDefault="003E0246" w:rsidP="003E0246">
            <w:pPr>
              <w:tabs>
                <w:tab w:val="clear" w:pos="851"/>
              </w:tabs>
              <w:spacing w:before="0"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2021</w:t>
            </w:r>
          </w:p>
        </w:tc>
      </w:tr>
      <w:tr w:rsidR="00457198" w:rsidRPr="00457198" w14:paraId="15347B80" w14:textId="77777777" w:rsidTr="00087F48">
        <w:trPr>
          <w:trHeight w:val="258"/>
        </w:trPr>
        <w:tc>
          <w:tcPr>
            <w:tcW w:w="1118" w:type="pct"/>
            <w:tcBorders>
              <w:top w:val="nil"/>
              <w:left w:val="nil"/>
              <w:bottom w:val="single" w:sz="8" w:space="0" w:color="8DB4E2"/>
              <w:right w:val="nil"/>
            </w:tcBorders>
            <w:shd w:val="clear" w:color="auto" w:fill="auto"/>
            <w:noWrap/>
            <w:vAlign w:val="center"/>
            <w:hideMark/>
          </w:tcPr>
          <w:p w14:paraId="1071A244" w14:textId="77777777" w:rsidR="003E0246" w:rsidRPr="00087F48" w:rsidRDefault="003E0246" w:rsidP="003E0246">
            <w:pPr>
              <w:tabs>
                <w:tab w:val="clear" w:pos="851"/>
              </w:tabs>
              <w:spacing w:before="0" w:after="0" w:line="240" w:lineRule="auto"/>
              <w:jc w:val="left"/>
              <w:rPr>
                <w:rFonts w:ascii="Arial" w:hAnsi="Arial" w:cs="Arial"/>
                <w:b/>
                <w:bCs/>
                <w:color w:val="538DD5"/>
                <w:sz w:val="14"/>
                <w:szCs w:val="16"/>
                <w:lang w:eastAsia="pt-BR"/>
              </w:rPr>
            </w:pPr>
            <w:r w:rsidRPr="00087F48">
              <w:rPr>
                <w:rFonts w:ascii="Arial" w:hAnsi="Arial" w:cs="Arial"/>
                <w:b/>
                <w:bCs/>
                <w:color w:val="538DD5"/>
                <w:sz w:val="14"/>
                <w:szCs w:val="16"/>
                <w:lang w:eastAsia="pt-BR"/>
              </w:rPr>
              <w:t>Rubricas</w:t>
            </w:r>
          </w:p>
        </w:tc>
        <w:tc>
          <w:tcPr>
            <w:tcW w:w="449" w:type="pct"/>
            <w:tcBorders>
              <w:top w:val="nil"/>
              <w:left w:val="nil"/>
              <w:bottom w:val="single" w:sz="8" w:space="0" w:color="8DB4E2"/>
              <w:right w:val="nil"/>
            </w:tcBorders>
            <w:shd w:val="clear" w:color="auto" w:fill="auto"/>
            <w:noWrap/>
            <w:vAlign w:val="center"/>
            <w:hideMark/>
          </w:tcPr>
          <w:p w14:paraId="726ABE53" w14:textId="77777777" w:rsidR="003E0246" w:rsidRPr="00087F48" w:rsidRDefault="003E0246" w:rsidP="003E0246">
            <w:pPr>
              <w:tabs>
                <w:tab w:val="clear" w:pos="851"/>
              </w:tabs>
              <w:spacing w:before="0"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Valor</w:t>
            </w:r>
          </w:p>
        </w:tc>
        <w:tc>
          <w:tcPr>
            <w:tcW w:w="407" w:type="pct"/>
            <w:tcBorders>
              <w:top w:val="nil"/>
              <w:left w:val="nil"/>
              <w:bottom w:val="single" w:sz="8" w:space="0" w:color="8DB4E2"/>
              <w:right w:val="nil"/>
            </w:tcBorders>
            <w:shd w:val="clear" w:color="auto" w:fill="auto"/>
            <w:noWrap/>
            <w:vAlign w:val="center"/>
            <w:hideMark/>
          </w:tcPr>
          <w:p w14:paraId="04147C21" w14:textId="77777777" w:rsidR="003E0246" w:rsidRPr="00087F48" w:rsidRDefault="003E0246" w:rsidP="003E0246">
            <w:pPr>
              <w:tabs>
                <w:tab w:val="clear" w:pos="851"/>
              </w:tabs>
              <w:spacing w:before="0"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 xml:space="preserve"> AV% </w:t>
            </w:r>
          </w:p>
        </w:tc>
        <w:tc>
          <w:tcPr>
            <w:tcW w:w="341" w:type="pct"/>
            <w:tcBorders>
              <w:top w:val="nil"/>
              <w:left w:val="nil"/>
              <w:bottom w:val="single" w:sz="8" w:space="0" w:color="8DB4E2"/>
              <w:right w:val="nil"/>
            </w:tcBorders>
            <w:shd w:val="clear" w:color="auto" w:fill="auto"/>
            <w:vAlign w:val="center"/>
            <w:hideMark/>
          </w:tcPr>
          <w:p w14:paraId="20EAA8C6" w14:textId="77777777" w:rsidR="003E0246" w:rsidRPr="00087F48" w:rsidRDefault="003E0246" w:rsidP="003E0246">
            <w:pPr>
              <w:tabs>
                <w:tab w:val="clear" w:pos="851"/>
              </w:tabs>
              <w:spacing w:before="0" w:after="0" w:line="240" w:lineRule="auto"/>
              <w:jc w:val="center"/>
              <w:rPr>
                <w:rFonts w:ascii="Arial" w:hAnsi="Arial" w:cs="Arial"/>
                <w:b/>
                <w:bCs/>
                <w:color w:val="538DD5"/>
                <w:sz w:val="14"/>
                <w:szCs w:val="16"/>
                <w:lang w:eastAsia="pt-BR"/>
              </w:rPr>
            </w:pPr>
            <w:r w:rsidRPr="00087F48">
              <w:rPr>
                <w:rFonts w:ascii="Arial" w:hAnsi="Arial" w:cs="Arial"/>
                <w:b/>
                <w:bCs/>
                <w:color w:val="538DD5"/>
                <w:sz w:val="14"/>
                <w:szCs w:val="16"/>
                <w:lang w:eastAsia="pt-BR"/>
              </w:rPr>
              <w:t xml:space="preserve"> AH% - 2022</w:t>
            </w:r>
          </w:p>
        </w:tc>
        <w:tc>
          <w:tcPr>
            <w:tcW w:w="341" w:type="pct"/>
            <w:tcBorders>
              <w:top w:val="nil"/>
              <w:left w:val="nil"/>
              <w:bottom w:val="single" w:sz="8" w:space="0" w:color="8DB4E2"/>
              <w:right w:val="single" w:sz="8" w:space="0" w:color="8DB4E2"/>
            </w:tcBorders>
            <w:shd w:val="clear" w:color="auto" w:fill="auto"/>
            <w:vAlign w:val="center"/>
            <w:hideMark/>
          </w:tcPr>
          <w:p w14:paraId="655982E7" w14:textId="77777777" w:rsidR="003E0246" w:rsidRPr="00087F48" w:rsidRDefault="003E0246" w:rsidP="003E0246">
            <w:pPr>
              <w:tabs>
                <w:tab w:val="clear" w:pos="851"/>
              </w:tabs>
              <w:spacing w:before="0" w:after="0" w:line="240" w:lineRule="auto"/>
              <w:jc w:val="center"/>
              <w:rPr>
                <w:rFonts w:ascii="Arial" w:hAnsi="Arial" w:cs="Arial"/>
                <w:b/>
                <w:bCs/>
                <w:color w:val="538DD5"/>
                <w:sz w:val="14"/>
                <w:szCs w:val="16"/>
                <w:lang w:eastAsia="pt-BR"/>
              </w:rPr>
            </w:pPr>
            <w:r w:rsidRPr="00087F48">
              <w:rPr>
                <w:rFonts w:ascii="Arial" w:hAnsi="Arial" w:cs="Arial"/>
                <w:b/>
                <w:bCs/>
                <w:color w:val="538DD5"/>
                <w:sz w:val="14"/>
                <w:szCs w:val="16"/>
                <w:lang w:eastAsia="pt-BR"/>
              </w:rPr>
              <w:t xml:space="preserve"> AH% - 2021</w:t>
            </w:r>
          </w:p>
        </w:tc>
        <w:tc>
          <w:tcPr>
            <w:tcW w:w="449" w:type="pct"/>
            <w:tcBorders>
              <w:top w:val="nil"/>
              <w:left w:val="nil"/>
              <w:bottom w:val="single" w:sz="8" w:space="0" w:color="8DB4E2"/>
              <w:right w:val="nil"/>
            </w:tcBorders>
            <w:shd w:val="clear" w:color="auto" w:fill="auto"/>
            <w:noWrap/>
            <w:vAlign w:val="center"/>
            <w:hideMark/>
          </w:tcPr>
          <w:p w14:paraId="35FFC2FE" w14:textId="77777777" w:rsidR="003E0246" w:rsidRPr="00087F48" w:rsidRDefault="003E0246" w:rsidP="003E0246">
            <w:pPr>
              <w:tabs>
                <w:tab w:val="clear" w:pos="851"/>
              </w:tabs>
              <w:spacing w:before="0"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Valor</w:t>
            </w:r>
          </w:p>
        </w:tc>
        <w:tc>
          <w:tcPr>
            <w:tcW w:w="407" w:type="pct"/>
            <w:tcBorders>
              <w:top w:val="nil"/>
              <w:left w:val="nil"/>
              <w:bottom w:val="single" w:sz="8" w:space="0" w:color="8DB4E2"/>
              <w:right w:val="nil"/>
            </w:tcBorders>
            <w:shd w:val="clear" w:color="auto" w:fill="auto"/>
            <w:noWrap/>
            <w:vAlign w:val="center"/>
            <w:hideMark/>
          </w:tcPr>
          <w:p w14:paraId="2FE85368" w14:textId="77777777" w:rsidR="003E0246" w:rsidRPr="00087F48" w:rsidRDefault="003E0246" w:rsidP="003E0246">
            <w:pPr>
              <w:tabs>
                <w:tab w:val="clear" w:pos="851"/>
              </w:tabs>
              <w:spacing w:before="0"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 xml:space="preserve"> AV% </w:t>
            </w:r>
          </w:p>
        </w:tc>
        <w:tc>
          <w:tcPr>
            <w:tcW w:w="341" w:type="pct"/>
            <w:tcBorders>
              <w:top w:val="nil"/>
              <w:left w:val="nil"/>
              <w:bottom w:val="single" w:sz="8" w:space="0" w:color="8DB4E2"/>
              <w:right w:val="nil"/>
            </w:tcBorders>
            <w:shd w:val="clear" w:color="auto" w:fill="auto"/>
            <w:vAlign w:val="center"/>
            <w:hideMark/>
          </w:tcPr>
          <w:p w14:paraId="7ED47B0B" w14:textId="77777777" w:rsidR="003E0246" w:rsidRPr="00087F48" w:rsidRDefault="003E0246" w:rsidP="003E0246">
            <w:pPr>
              <w:tabs>
                <w:tab w:val="clear" w:pos="851"/>
              </w:tabs>
              <w:spacing w:before="0" w:after="0" w:line="240" w:lineRule="auto"/>
              <w:jc w:val="center"/>
              <w:rPr>
                <w:rFonts w:ascii="Arial" w:hAnsi="Arial" w:cs="Arial"/>
                <w:b/>
                <w:bCs/>
                <w:color w:val="538DD5"/>
                <w:sz w:val="14"/>
                <w:szCs w:val="16"/>
                <w:lang w:eastAsia="pt-BR"/>
              </w:rPr>
            </w:pPr>
            <w:r w:rsidRPr="00087F48">
              <w:rPr>
                <w:rFonts w:ascii="Arial" w:hAnsi="Arial" w:cs="Arial"/>
                <w:b/>
                <w:bCs/>
                <w:color w:val="538DD5"/>
                <w:sz w:val="14"/>
                <w:szCs w:val="16"/>
                <w:lang w:eastAsia="pt-BR"/>
              </w:rPr>
              <w:t xml:space="preserve"> AH% - 2021</w:t>
            </w:r>
          </w:p>
        </w:tc>
        <w:tc>
          <w:tcPr>
            <w:tcW w:w="341" w:type="pct"/>
            <w:tcBorders>
              <w:top w:val="nil"/>
              <w:left w:val="nil"/>
              <w:bottom w:val="single" w:sz="8" w:space="0" w:color="8DB4E2"/>
              <w:right w:val="single" w:sz="8" w:space="0" w:color="8DB4E2"/>
            </w:tcBorders>
            <w:shd w:val="clear" w:color="auto" w:fill="auto"/>
            <w:vAlign w:val="center"/>
            <w:hideMark/>
          </w:tcPr>
          <w:p w14:paraId="38815307" w14:textId="77777777" w:rsidR="003E0246" w:rsidRPr="00087F48" w:rsidRDefault="003E0246" w:rsidP="003E0246">
            <w:pPr>
              <w:tabs>
                <w:tab w:val="clear" w:pos="851"/>
              </w:tabs>
              <w:spacing w:before="0" w:after="0" w:line="240" w:lineRule="auto"/>
              <w:jc w:val="center"/>
              <w:rPr>
                <w:rFonts w:ascii="Arial" w:hAnsi="Arial" w:cs="Arial"/>
                <w:b/>
                <w:bCs/>
                <w:color w:val="538DD5"/>
                <w:sz w:val="14"/>
                <w:szCs w:val="16"/>
                <w:lang w:eastAsia="pt-BR"/>
              </w:rPr>
            </w:pPr>
            <w:r w:rsidRPr="00087F48">
              <w:rPr>
                <w:rFonts w:ascii="Arial" w:hAnsi="Arial" w:cs="Arial"/>
                <w:b/>
                <w:bCs/>
                <w:color w:val="538DD5"/>
                <w:sz w:val="14"/>
                <w:szCs w:val="16"/>
                <w:lang w:eastAsia="pt-BR"/>
              </w:rPr>
              <w:t xml:space="preserve"> AH% - 2020</w:t>
            </w:r>
          </w:p>
        </w:tc>
        <w:tc>
          <w:tcPr>
            <w:tcW w:w="449" w:type="pct"/>
            <w:tcBorders>
              <w:top w:val="nil"/>
              <w:left w:val="nil"/>
              <w:bottom w:val="single" w:sz="8" w:space="0" w:color="8DB4E2"/>
              <w:right w:val="nil"/>
            </w:tcBorders>
            <w:shd w:val="clear" w:color="auto" w:fill="auto"/>
            <w:noWrap/>
            <w:vAlign w:val="center"/>
            <w:hideMark/>
          </w:tcPr>
          <w:p w14:paraId="545AFB19" w14:textId="77777777" w:rsidR="003E0246" w:rsidRPr="00087F48" w:rsidRDefault="003E0246" w:rsidP="003E0246">
            <w:pPr>
              <w:tabs>
                <w:tab w:val="clear" w:pos="851"/>
              </w:tabs>
              <w:spacing w:before="0"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Valor</w:t>
            </w:r>
          </w:p>
        </w:tc>
        <w:tc>
          <w:tcPr>
            <w:tcW w:w="360" w:type="pct"/>
            <w:tcBorders>
              <w:top w:val="nil"/>
              <w:left w:val="nil"/>
              <w:bottom w:val="single" w:sz="8" w:space="0" w:color="8DB4E2"/>
              <w:right w:val="nil"/>
            </w:tcBorders>
            <w:shd w:val="clear" w:color="auto" w:fill="auto"/>
            <w:noWrap/>
            <w:vAlign w:val="center"/>
            <w:hideMark/>
          </w:tcPr>
          <w:p w14:paraId="415FD9D4" w14:textId="77777777" w:rsidR="003E0246" w:rsidRPr="00087F48" w:rsidRDefault="003E0246" w:rsidP="003E0246">
            <w:pPr>
              <w:tabs>
                <w:tab w:val="clear" w:pos="851"/>
              </w:tabs>
              <w:spacing w:before="0" w:after="0" w:line="240" w:lineRule="auto"/>
              <w:jc w:val="right"/>
              <w:rPr>
                <w:rFonts w:ascii="Arial" w:hAnsi="Arial" w:cs="Arial"/>
                <w:b/>
                <w:bCs/>
                <w:color w:val="538DD5"/>
                <w:sz w:val="14"/>
                <w:szCs w:val="16"/>
                <w:lang w:eastAsia="pt-BR"/>
              </w:rPr>
            </w:pPr>
            <w:r w:rsidRPr="00087F48">
              <w:rPr>
                <w:rFonts w:ascii="Arial" w:hAnsi="Arial" w:cs="Arial"/>
                <w:b/>
                <w:bCs/>
                <w:color w:val="538DD5"/>
                <w:sz w:val="14"/>
                <w:szCs w:val="16"/>
                <w:lang w:eastAsia="pt-BR"/>
              </w:rPr>
              <w:t xml:space="preserve"> AV% </w:t>
            </w:r>
          </w:p>
        </w:tc>
      </w:tr>
      <w:tr w:rsidR="00457198" w:rsidRPr="00457198" w14:paraId="55E91990" w14:textId="77777777" w:rsidTr="00087F48">
        <w:trPr>
          <w:trHeight w:val="258"/>
        </w:trPr>
        <w:tc>
          <w:tcPr>
            <w:tcW w:w="1118" w:type="pct"/>
            <w:tcBorders>
              <w:top w:val="nil"/>
              <w:left w:val="nil"/>
              <w:bottom w:val="nil"/>
              <w:right w:val="nil"/>
            </w:tcBorders>
            <w:shd w:val="clear" w:color="auto" w:fill="auto"/>
            <w:noWrap/>
            <w:vAlign w:val="center"/>
            <w:hideMark/>
          </w:tcPr>
          <w:p w14:paraId="19729D0B" w14:textId="77777777" w:rsidR="003E0246" w:rsidRPr="00087F48" w:rsidRDefault="003E0246" w:rsidP="003E0246">
            <w:pPr>
              <w:tabs>
                <w:tab w:val="clear" w:pos="851"/>
              </w:tabs>
              <w:spacing w:before="0" w:after="0" w:line="240" w:lineRule="auto"/>
              <w:jc w:val="left"/>
              <w:rPr>
                <w:rFonts w:ascii="Arial" w:hAnsi="Arial" w:cs="Arial"/>
                <w:color w:val="000000"/>
                <w:sz w:val="14"/>
                <w:szCs w:val="16"/>
                <w:lang w:eastAsia="pt-BR"/>
              </w:rPr>
            </w:pPr>
            <w:r w:rsidRPr="00087F48">
              <w:rPr>
                <w:rFonts w:ascii="Arial" w:hAnsi="Arial" w:cs="Arial"/>
                <w:color w:val="000000"/>
                <w:sz w:val="14"/>
                <w:szCs w:val="16"/>
                <w:lang w:eastAsia="pt-BR"/>
              </w:rPr>
              <w:t>Ativo Circulante</w:t>
            </w:r>
          </w:p>
        </w:tc>
        <w:tc>
          <w:tcPr>
            <w:tcW w:w="449" w:type="pct"/>
            <w:tcBorders>
              <w:top w:val="nil"/>
              <w:left w:val="nil"/>
              <w:bottom w:val="nil"/>
              <w:right w:val="nil"/>
            </w:tcBorders>
            <w:shd w:val="clear" w:color="auto" w:fill="auto"/>
            <w:noWrap/>
            <w:vAlign w:val="center"/>
            <w:hideMark/>
          </w:tcPr>
          <w:p w14:paraId="5CFF63AB"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1.607.349</w:t>
            </w:r>
          </w:p>
        </w:tc>
        <w:tc>
          <w:tcPr>
            <w:tcW w:w="407" w:type="pct"/>
            <w:tcBorders>
              <w:top w:val="nil"/>
              <w:left w:val="nil"/>
              <w:bottom w:val="nil"/>
              <w:right w:val="nil"/>
            </w:tcBorders>
            <w:shd w:val="clear" w:color="auto" w:fill="auto"/>
            <w:noWrap/>
            <w:vAlign w:val="center"/>
            <w:hideMark/>
          </w:tcPr>
          <w:p w14:paraId="4C9F8B8F"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40,10%</w:t>
            </w:r>
          </w:p>
        </w:tc>
        <w:tc>
          <w:tcPr>
            <w:tcW w:w="341" w:type="pct"/>
            <w:tcBorders>
              <w:top w:val="nil"/>
              <w:left w:val="nil"/>
              <w:bottom w:val="nil"/>
              <w:right w:val="nil"/>
            </w:tcBorders>
            <w:shd w:val="clear" w:color="auto" w:fill="auto"/>
            <w:noWrap/>
            <w:vAlign w:val="center"/>
            <w:hideMark/>
          </w:tcPr>
          <w:p w14:paraId="1FB9D121"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5,1%</w:t>
            </w:r>
          </w:p>
        </w:tc>
        <w:tc>
          <w:tcPr>
            <w:tcW w:w="341" w:type="pct"/>
            <w:tcBorders>
              <w:top w:val="nil"/>
              <w:left w:val="nil"/>
              <w:bottom w:val="nil"/>
              <w:right w:val="single" w:sz="8" w:space="0" w:color="8DB4E2"/>
            </w:tcBorders>
            <w:shd w:val="clear" w:color="auto" w:fill="auto"/>
            <w:noWrap/>
            <w:vAlign w:val="center"/>
            <w:hideMark/>
          </w:tcPr>
          <w:p w14:paraId="3698B335"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10,3%</w:t>
            </w:r>
          </w:p>
        </w:tc>
        <w:tc>
          <w:tcPr>
            <w:tcW w:w="449" w:type="pct"/>
            <w:tcBorders>
              <w:top w:val="nil"/>
              <w:left w:val="nil"/>
              <w:bottom w:val="nil"/>
              <w:right w:val="nil"/>
            </w:tcBorders>
            <w:shd w:val="clear" w:color="auto" w:fill="auto"/>
            <w:noWrap/>
            <w:vAlign w:val="center"/>
            <w:hideMark/>
          </w:tcPr>
          <w:p w14:paraId="1B1FD864"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1.528.710</w:t>
            </w:r>
          </w:p>
        </w:tc>
        <w:tc>
          <w:tcPr>
            <w:tcW w:w="407" w:type="pct"/>
            <w:tcBorders>
              <w:top w:val="nil"/>
              <w:left w:val="nil"/>
              <w:bottom w:val="nil"/>
              <w:right w:val="nil"/>
            </w:tcBorders>
            <w:shd w:val="clear" w:color="auto" w:fill="auto"/>
            <w:noWrap/>
            <w:vAlign w:val="center"/>
            <w:hideMark/>
          </w:tcPr>
          <w:p w14:paraId="2FBD2987"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37,90%</w:t>
            </w:r>
          </w:p>
        </w:tc>
        <w:tc>
          <w:tcPr>
            <w:tcW w:w="341" w:type="pct"/>
            <w:tcBorders>
              <w:top w:val="nil"/>
              <w:left w:val="nil"/>
              <w:bottom w:val="nil"/>
              <w:right w:val="nil"/>
            </w:tcBorders>
            <w:shd w:val="clear" w:color="auto" w:fill="auto"/>
            <w:noWrap/>
            <w:vAlign w:val="center"/>
            <w:hideMark/>
          </w:tcPr>
          <w:p w14:paraId="06EEF889"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4,9%</w:t>
            </w:r>
          </w:p>
        </w:tc>
        <w:tc>
          <w:tcPr>
            <w:tcW w:w="341" w:type="pct"/>
            <w:tcBorders>
              <w:top w:val="nil"/>
              <w:left w:val="nil"/>
              <w:bottom w:val="nil"/>
              <w:right w:val="single" w:sz="8" w:space="0" w:color="8DB4E2"/>
            </w:tcBorders>
            <w:shd w:val="clear" w:color="auto" w:fill="auto"/>
            <w:noWrap/>
            <w:vAlign w:val="center"/>
            <w:hideMark/>
          </w:tcPr>
          <w:p w14:paraId="18C1671B"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16,1%</w:t>
            </w:r>
          </w:p>
        </w:tc>
        <w:tc>
          <w:tcPr>
            <w:tcW w:w="449" w:type="pct"/>
            <w:tcBorders>
              <w:top w:val="nil"/>
              <w:left w:val="nil"/>
              <w:bottom w:val="nil"/>
              <w:right w:val="nil"/>
            </w:tcBorders>
            <w:shd w:val="clear" w:color="auto" w:fill="auto"/>
            <w:noWrap/>
            <w:vAlign w:val="center"/>
            <w:hideMark/>
          </w:tcPr>
          <w:p w14:paraId="4E9D2749"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1.457.061</w:t>
            </w:r>
          </w:p>
        </w:tc>
        <w:tc>
          <w:tcPr>
            <w:tcW w:w="360" w:type="pct"/>
            <w:tcBorders>
              <w:top w:val="nil"/>
              <w:left w:val="nil"/>
              <w:bottom w:val="nil"/>
              <w:right w:val="nil"/>
            </w:tcBorders>
            <w:shd w:val="clear" w:color="auto" w:fill="auto"/>
            <w:noWrap/>
            <w:vAlign w:val="center"/>
            <w:hideMark/>
          </w:tcPr>
          <w:p w14:paraId="7DF9095C"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35,5%</w:t>
            </w:r>
          </w:p>
        </w:tc>
      </w:tr>
      <w:tr w:rsidR="00457198" w:rsidRPr="00457198" w14:paraId="648E2164" w14:textId="77777777" w:rsidTr="00087F48">
        <w:trPr>
          <w:trHeight w:val="258"/>
        </w:trPr>
        <w:tc>
          <w:tcPr>
            <w:tcW w:w="1118" w:type="pct"/>
            <w:tcBorders>
              <w:top w:val="nil"/>
              <w:left w:val="nil"/>
              <w:bottom w:val="nil"/>
              <w:right w:val="nil"/>
            </w:tcBorders>
            <w:shd w:val="clear" w:color="auto" w:fill="auto"/>
            <w:noWrap/>
            <w:vAlign w:val="center"/>
            <w:hideMark/>
          </w:tcPr>
          <w:p w14:paraId="6A868EFD" w14:textId="77777777" w:rsidR="003E0246" w:rsidRPr="00087F48" w:rsidRDefault="003E0246" w:rsidP="003E0246">
            <w:pPr>
              <w:tabs>
                <w:tab w:val="clear" w:pos="851"/>
              </w:tabs>
              <w:spacing w:before="0" w:after="0" w:line="240" w:lineRule="auto"/>
              <w:jc w:val="left"/>
              <w:rPr>
                <w:rFonts w:ascii="Arial" w:hAnsi="Arial" w:cs="Arial"/>
                <w:color w:val="000000"/>
                <w:sz w:val="14"/>
                <w:szCs w:val="16"/>
                <w:lang w:eastAsia="pt-BR"/>
              </w:rPr>
            </w:pPr>
            <w:r w:rsidRPr="00087F48">
              <w:rPr>
                <w:rFonts w:ascii="Arial" w:hAnsi="Arial" w:cs="Arial"/>
                <w:color w:val="000000"/>
                <w:sz w:val="14"/>
                <w:szCs w:val="16"/>
                <w:lang w:eastAsia="pt-BR"/>
              </w:rPr>
              <w:t>Ativo Não Circulante</w:t>
            </w:r>
          </w:p>
        </w:tc>
        <w:tc>
          <w:tcPr>
            <w:tcW w:w="449" w:type="pct"/>
            <w:tcBorders>
              <w:top w:val="nil"/>
              <w:left w:val="nil"/>
              <w:bottom w:val="nil"/>
              <w:right w:val="nil"/>
            </w:tcBorders>
            <w:shd w:val="clear" w:color="auto" w:fill="auto"/>
            <w:noWrap/>
            <w:vAlign w:val="center"/>
            <w:hideMark/>
          </w:tcPr>
          <w:p w14:paraId="47286C68"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2.396.238</w:t>
            </w:r>
          </w:p>
        </w:tc>
        <w:tc>
          <w:tcPr>
            <w:tcW w:w="407" w:type="pct"/>
            <w:tcBorders>
              <w:top w:val="nil"/>
              <w:left w:val="nil"/>
              <w:bottom w:val="nil"/>
              <w:right w:val="nil"/>
            </w:tcBorders>
            <w:shd w:val="clear" w:color="auto" w:fill="auto"/>
            <w:noWrap/>
            <w:vAlign w:val="center"/>
            <w:hideMark/>
          </w:tcPr>
          <w:p w14:paraId="74D3AC38"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59,90%</w:t>
            </w:r>
          </w:p>
        </w:tc>
        <w:tc>
          <w:tcPr>
            <w:tcW w:w="341" w:type="pct"/>
            <w:tcBorders>
              <w:top w:val="nil"/>
              <w:left w:val="nil"/>
              <w:bottom w:val="nil"/>
              <w:right w:val="nil"/>
            </w:tcBorders>
            <w:shd w:val="clear" w:color="auto" w:fill="auto"/>
            <w:noWrap/>
            <w:vAlign w:val="center"/>
            <w:hideMark/>
          </w:tcPr>
          <w:p w14:paraId="7782C365"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-4,4%</w:t>
            </w:r>
          </w:p>
        </w:tc>
        <w:tc>
          <w:tcPr>
            <w:tcW w:w="341" w:type="pct"/>
            <w:tcBorders>
              <w:top w:val="nil"/>
              <w:left w:val="nil"/>
              <w:bottom w:val="nil"/>
              <w:right w:val="single" w:sz="8" w:space="0" w:color="8DB4E2"/>
            </w:tcBorders>
            <w:shd w:val="clear" w:color="auto" w:fill="auto"/>
            <w:noWrap/>
            <w:vAlign w:val="center"/>
            <w:hideMark/>
          </w:tcPr>
          <w:p w14:paraId="6E8EFEFC"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-9,3%</w:t>
            </w:r>
          </w:p>
        </w:tc>
        <w:tc>
          <w:tcPr>
            <w:tcW w:w="449" w:type="pct"/>
            <w:tcBorders>
              <w:top w:val="nil"/>
              <w:left w:val="nil"/>
              <w:bottom w:val="nil"/>
              <w:right w:val="nil"/>
            </w:tcBorders>
            <w:shd w:val="clear" w:color="auto" w:fill="auto"/>
            <w:noWrap/>
            <w:vAlign w:val="center"/>
            <w:hideMark/>
          </w:tcPr>
          <w:p w14:paraId="7ED90F24"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2.506.701</w:t>
            </w:r>
          </w:p>
        </w:tc>
        <w:tc>
          <w:tcPr>
            <w:tcW w:w="407" w:type="pct"/>
            <w:tcBorders>
              <w:top w:val="nil"/>
              <w:left w:val="nil"/>
              <w:bottom w:val="nil"/>
              <w:right w:val="nil"/>
            </w:tcBorders>
            <w:shd w:val="clear" w:color="auto" w:fill="auto"/>
            <w:noWrap/>
            <w:vAlign w:val="center"/>
            <w:hideMark/>
          </w:tcPr>
          <w:p w14:paraId="6826D32F"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62,10%</w:t>
            </w:r>
          </w:p>
        </w:tc>
        <w:tc>
          <w:tcPr>
            <w:tcW w:w="341" w:type="pct"/>
            <w:tcBorders>
              <w:top w:val="nil"/>
              <w:left w:val="nil"/>
              <w:bottom w:val="nil"/>
              <w:right w:val="nil"/>
            </w:tcBorders>
            <w:shd w:val="clear" w:color="auto" w:fill="auto"/>
            <w:noWrap/>
            <w:vAlign w:val="center"/>
            <w:hideMark/>
          </w:tcPr>
          <w:p w14:paraId="34809CB3"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-5,1%</w:t>
            </w:r>
          </w:p>
        </w:tc>
        <w:tc>
          <w:tcPr>
            <w:tcW w:w="341" w:type="pct"/>
            <w:tcBorders>
              <w:top w:val="nil"/>
              <w:left w:val="nil"/>
              <w:bottom w:val="nil"/>
              <w:right w:val="single" w:sz="8" w:space="0" w:color="8DB4E2"/>
            </w:tcBorders>
            <w:shd w:val="clear" w:color="auto" w:fill="auto"/>
            <w:noWrap/>
            <w:vAlign w:val="center"/>
            <w:hideMark/>
          </w:tcPr>
          <w:p w14:paraId="450844B6"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-14,4%</w:t>
            </w:r>
          </w:p>
        </w:tc>
        <w:tc>
          <w:tcPr>
            <w:tcW w:w="449" w:type="pct"/>
            <w:tcBorders>
              <w:top w:val="nil"/>
              <w:left w:val="nil"/>
              <w:bottom w:val="nil"/>
              <w:right w:val="nil"/>
            </w:tcBorders>
            <w:shd w:val="clear" w:color="auto" w:fill="auto"/>
            <w:noWrap/>
            <w:vAlign w:val="center"/>
            <w:hideMark/>
          </w:tcPr>
          <w:p w14:paraId="6940D11B"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2.641.993</w:t>
            </w:r>
          </w:p>
        </w:tc>
        <w:tc>
          <w:tcPr>
            <w:tcW w:w="360" w:type="pct"/>
            <w:tcBorders>
              <w:top w:val="nil"/>
              <w:left w:val="nil"/>
              <w:bottom w:val="nil"/>
              <w:right w:val="nil"/>
            </w:tcBorders>
            <w:shd w:val="clear" w:color="auto" w:fill="auto"/>
            <w:noWrap/>
            <w:vAlign w:val="center"/>
            <w:hideMark/>
          </w:tcPr>
          <w:p w14:paraId="76A2F496"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64,5%</w:t>
            </w:r>
          </w:p>
        </w:tc>
      </w:tr>
      <w:tr w:rsidR="00457198" w:rsidRPr="00457198" w14:paraId="70EF36DD" w14:textId="77777777" w:rsidTr="00087F48">
        <w:trPr>
          <w:trHeight w:val="258"/>
        </w:trPr>
        <w:tc>
          <w:tcPr>
            <w:tcW w:w="1118" w:type="pct"/>
            <w:tcBorders>
              <w:top w:val="nil"/>
              <w:left w:val="nil"/>
              <w:bottom w:val="nil"/>
              <w:right w:val="nil"/>
            </w:tcBorders>
            <w:shd w:val="clear" w:color="auto" w:fill="auto"/>
            <w:noWrap/>
            <w:vAlign w:val="center"/>
            <w:hideMark/>
          </w:tcPr>
          <w:p w14:paraId="3BA3DFC1" w14:textId="77777777" w:rsidR="003E0246" w:rsidRPr="00087F48" w:rsidRDefault="003E0246" w:rsidP="003E0246">
            <w:pPr>
              <w:tabs>
                <w:tab w:val="clear" w:pos="851"/>
              </w:tabs>
              <w:spacing w:before="0" w:after="0" w:line="240" w:lineRule="auto"/>
              <w:ind w:firstLineChars="100" w:firstLine="140"/>
              <w:jc w:val="left"/>
              <w:rPr>
                <w:rFonts w:ascii="Arial" w:hAnsi="Arial" w:cs="Arial"/>
                <w:color w:val="000000"/>
                <w:sz w:val="14"/>
                <w:szCs w:val="16"/>
                <w:lang w:eastAsia="pt-BR"/>
              </w:rPr>
            </w:pPr>
            <w:r w:rsidRPr="00087F48">
              <w:rPr>
                <w:rFonts w:ascii="Arial" w:hAnsi="Arial" w:cs="Arial"/>
                <w:color w:val="000000"/>
                <w:sz w:val="14"/>
                <w:szCs w:val="16"/>
                <w:lang w:eastAsia="pt-BR"/>
              </w:rPr>
              <w:t>Realizável a Longo Prazo</w:t>
            </w:r>
          </w:p>
        </w:tc>
        <w:tc>
          <w:tcPr>
            <w:tcW w:w="449" w:type="pct"/>
            <w:tcBorders>
              <w:top w:val="nil"/>
              <w:left w:val="nil"/>
              <w:bottom w:val="nil"/>
              <w:right w:val="nil"/>
            </w:tcBorders>
            <w:shd w:val="clear" w:color="auto" w:fill="auto"/>
            <w:noWrap/>
            <w:vAlign w:val="center"/>
            <w:hideMark/>
          </w:tcPr>
          <w:p w14:paraId="18CBD492"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181.609</w:t>
            </w:r>
          </w:p>
        </w:tc>
        <w:tc>
          <w:tcPr>
            <w:tcW w:w="407" w:type="pct"/>
            <w:tcBorders>
              <w:top w:val="nil"/>
              <w:left w:val="nil"/>
              <w:bottom w:val="nil"/>
              <w:right w:val="nil"/>
            </w:tcBorders>
            <w:shd w:val="clear" w:color="auto" w:fill="auto"/>
            <w:noWrap/>
            <w:vAlign w:val="center"/>
            <w:hideMark/>
          </w:tcPr>
          <w:p w14:paraId="5EA69644"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4,50%</w:t>
            </w:r>
          </w:p>
        </w:tc>
        <w:tc>
          <w:tcPr>
            <w:tcW w:w="341" w:type="pct"/>
            <w:tcBorders>
              <w:top w:val="nil"/>
              <w:left w:val="nil"/>
              <w:bottom w:val="nil"/>
              <w:right w:val="nil"/>
            </w:tcBorders>
            <w:shd w:val="clear" w:color="auto" w:fill="auto"/>
            <w:noWrap/>
            <w:vAlign w:val="center"/>
            <w:hideMark/>
          </w:tcPr>
          <w:p w14:paraId="37DF9581"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19,2%</w:t>
            </w:r>
          </w:p>
        </w:tc>
        <w:tc>
          <w:tcPr>
            <w:tcW w:w="341" w:type="pct"/>
            <w:tcBorders>
              <w:top w:val="nil"/>
              <w:left w:val="nil"/>
              <w:bottom w:val="nil"/>
              <w:right w:val="single" w:sz="8" w:space="0" w:color="8DB4E2"/>
            </w:tcBorders>
            <w:shd w:val="clear" w:color="auto" w:fill="auto"/>
            <w:noWrap/>
            <w:vAlign w:val="center"/>
            <w:hideMark/>
          </w:tcPr>
          <w:p w14:paraId="177757CC"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18,1%</w:t>
            </w:r>
          </w:p>
        </w:tc>
        <w:tc>
          <w:tcPr>
            <w:tcW w:w="449" w:type="pct"/>
            <w:tcBorders>
              <w:top w:val="nil"/>
              <w:left w:val="nil"/>
              <w:bottom w:val="nil"/>
              <w:right w:val="nil"/>
            </w:tcBorders>
            <w:shd w:val="clear" w:color="auto" w:fill="auto"/>
            <w:noWrap/>
            <w:vAlign w:val="center"/>
            <w:hideMark/>
          </w:tcPr>
          <w:p w14:paraId="586FF018"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152.413</w:t>
            </w:r>
          </w:p>
        </w:tc>
        <w:tc>
          <w:tcPr>
            <w:tcW w:w="407" w:type="pct"/>
            <w:tcBorders>
              <w:top w:val="nil"/>
              <w:left w:val="nil"/>
              <w:bottom w:val="nil"/>
              <w:right w:val="nil"/>
            </w:tcBorders>
            <w:shd w:val="clear" w:color="auto" w:fill="auto"/>
            <w:noWrap/>
            <w:vAlign w:val="center"/>
            <w:hideMark/>
          </w:tcPr>
          <w:p w14:paraId="595AB164"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3,80%</w:t>
            </w:r>
          </w:p>
        </w:tc>
        <w:tc>
          <w:tcPr>
            <w:tcW w:w="341" w:type="pct"/>
            <w:tcBorders>
              <w:top w:val="nil"/>
              <w:left w:val="nil"/>
              <w:bottom w:val="nil"/>
              <w:right w:val="nil"/>
            </w:tcBorders>
            <w:shd w:val="clear" w:color="auto" w:fill="auto"/>
            <w:noWrap/>
            <w:vAlign w:val="center"/>
            <w:hideMark/>
          </w:tcPr>
          <w:p w14:paraId="07544005"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-0,9%</w:t>
            </w:r>
          </w:p>
        </w:tc>
        <w:tc>
          <w:tcPr>
            <w:tcW w:w="341" w:type="pct"/>
            <w:tcBorders>
              <w:top w:val="nil"/>
              <w:left w:val="nil"/>
              <w:bottom w:val="nil"/>
              <w:right w:val="single" w:sz="8" w:space="0" w:color="8DB4E2"/>
            </w:tcBorders>
            <w:shd w:val="clear" w:color="auto" w:fill="auto"/>
            <w:noWrap/>
            <w:vAlign w:val="center"/>
            <w:hideMark/>
          </w:tcPr>
          <w:p w14:paraId="4628A881"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-30,2%</w:t>
            </w:r>
          </w:p>
        </w:tc>
        <w:tc>
          <w:tcPr>
            <w:tcW w:w="449" w:type="pct"/>
            <w:tcBorders>
              <w:top w:val="nil"/>
              <w:left w:val="nil"/>
              <w:bottom w:val="nil"/>
              <w:right w:val="nil"/>
            </w:tcBorders>
            <w:shd w:val="clear" w:color="auto" w:fill="auto"/>
            <w:noWrap/>
            <w:vAlign w:val="center"/>
            <w:hideMark/>
          </w:tcPr>
          <w:p w14:paraId="20D5288B"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153.772</w:t>
            </w:r>
          </w:p>
        </w:tc>
        <w:tc>
          <w:tcPr>
            <w:tcW w:w="360" w:type="pct"/>
            <w:tcBorders>
              <w:top w:val="nil"/>
              <w:left w:val="nil"/>
              <w:bottom w:val="nil"/>
              <w:right w:val="nil"/>
            </w:tcBorders>
            <w:shd w:val="clear" w:color="auto" w:fill="auto"/>
            <w:noWrap/>
            <w:vAlign w:val="center"/>
            <w:hideMark/>
          </w:tcPr>
          <w:p w14:paraId="2C812182"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3,8%</w:t>
            </w:r>
          </w:p>
        </w:tc>
      </w:tr>
      <w:tr w:rsidR="00457198" w:rsidRPr="00457198" w14:paraId="7399BD4F" w14:textId="77777777" w:rsidTr="00087F48">
        <w:trPr>
          <w:trHeight w:val="258"/>
        </w:trPr>
        <w:tc>
          <w:tcPr>
            <w:tcW w:w="1118" w:type="pct"/>
            <w:tcBorders>
              <w:top w:val="nil"/>
              <w:left w:val="nil"/>
              <w:bottom w:val="nil"/>
              <w:right w:val="nil"/>
            </w:tcBorders>
            <w:shd w:val="clear" w:color="auto" w:fill="auto"/>
            <w:noWrap/>
            <w:vAlign w:val="center"/>
            <w:hideMark/>
          </w:tcPr>
          <w:p w14:paraId="2418B6CC" w14:textId="77777777" w:rsidR="003E0246" w:rsidRPr="00087F48" w:rsidRDefault="003E0246" w:rsidP="003E0246">
            <w:pPr>
              <w:tabs>
                <w:tab w:val="clear" w:pos="851"/>
              </w:tabs>
              <w:spacing w:before="0" w:after="0" w:line="240" w:lineRule="auto"/>
              <w:ind w:firstLineChars="100" w:firstLine="140"/>
              <w:jc w:val="left"/>
              <w:rPr>
                <w:rFonts w:ascii="Arial" w:hAnsi="Arial" w:cs="Arial"/>
                <w:color w:val="000000"/>
                <w:sz w:val="14"/>
                <w:szCs w:val="16"/>
                <w:lang w:eastAsia="pt-BR"/>
              </w:rPr>
            </w:pPr>
            <w:r w:rsidRPr="00087F48">
              <w:rPr>
                <w:rFonts w:ascii="Arial" w:hAnsi="Arial" w:cs="Arial"/>
                <w:color w:val="000000"/>
                <w:sz w:val="14"/>
                <w:szCs w:val="16"/>
                <w:lang w:eastAsia="pt-BR"/>
              </w:rPr>
              <w:t>Investimentos</w:t>
            </w:r>
          </w:p>
        </w:tc>
        <w:tc>
          <w:tcPr>
            <w:tcW w:w="449" w:type="pct"/>
            <w:tcBorders>
              <w:top w:val="nil"/>
              <w:left w:val="nil"/>
              <w:bottom w:val="nil"/>
              <w:right w:val="nil"/>
            </w:tcBorders>
            <w:shd w:val="clear" w:color="auto" w:fill="auto"/>
            <w:noWrap/>
            <w:vAlign w:val="center"/>
            <w:hideMark/>
          </w:tcPr>
          <w:p w14:paraId="632962FC"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70.084</w:t>
            </w:r>
          </w:p>
        </w:tc>
        <w:tc>
          <w:tcPr>
            <w:tcW w:w="407" w:type="pct"/>
            <w:tcBorders>
              <w:top w:val="nil"/>
              <w:left w:val="nil"/>
              <w:bottom w:val="nil"/>
              <w:right w:val="nil"/>
            </w:tcBorders>
            <w:shd w:val="clear" w:color="auto" w:fill="auto"/>
            <w:noWrap/>
            <w:vAlign w:val="center"/>
            <w:hideMark/>
          </w:tcPr>
          <w:p w14:paraId="45C74433"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1,80%</w:t>
            </w:r>
          </w:p>
        </w:tc>
        <w:tc>
          <w:tcPr>
            <w:tcW w:w="341" w:type="pct"/>
            <w:tcBorders>
              <w:top w:val="nil"/>
              <w:left w:val="nil"/>
              <w:bottom w:val="nil"/>
              <w:right w:val="nil"/>
            </w:tcBorders>
            <w:shd w:val="clear" w:color="auto" w:fill="auto"/>
            <w:noWrap/>
            <w:vAlign w:val="center"/>
            <w:hideMark/>
          </w:tcPr>
          <w:p w14:paraId="08902C87"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-6,8%</w:t>
            </w:r>
          </w:p>
        </w:tc>
        <w:tc>
          <w:tcPr>
            <w:tcW w:w="341" w:type="pct"/>
            <w:tcBorders>
              <w:top w:val="nil"/>
              <w:left w:val="nil"/>
              <w:bottom w:val="nil"/>
              <w:right w:val="single" w:sz="8" w:space="0" w:color="8DB4E2"/>
            </w:tcBorders>
            <w:shd w:val="clear" w:color="auto" w:fill="auto"/>
            <w:noWrap/>
            <w:vAlign w:val="center"/>
            <w:hideMark/>
          </w:tcPr>
          <w:p w14:paraId="1E08DBE9"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-20,5%</w:t>
            </w:r>
          </w:p>
        </w:tc>
        <w:tc>
          <w:tcPr>
            <w:tcW w:w="449" w:type="pct"/>
            <w:tcBorders>
              <w:top w:val="nil"/>
              <w:left w:val="nil"/>
              <w:bottom w:val="nil"/>
              <w:right w:val="nil"/>
            </w:tcBorders>
            <w:shd w:val="clear" w:color="auto" w:fill="auto"/>
            <w:noWrap/>
            <w:vAlign w:val="center"/>
            <w:hideMark/>
          </w:tcPr>
          <w:p w14:paraId="54E93B35"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75.195</w:t>
            </w:r>
          </w:p>
        </w:tc>
        <w:tc>
          <w:tcPr>
            <w:tcW w:w="407" w:type="pct"/>
            <w:tcBorders>
              <w:top w:val="nil"/>
              <w:left w:val="nil"/>
              <w:bottom w:val="nil"/>
              <w:right w:val="nil"/>
            </w:tcBorders>
            <w:shd w:val="clear" w:color="auto" w:fill="auto"/>
            <w:noWrap/>
            <w:vAlign w:val="center"/>
            <w:hideMark/>
          </w:tcPr>
          <w:p w14:paraId="129137A0"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1,90%</w:t>
            </w:r>
          </w:p>
        </w:tc>
        <w:tc>
          <w:tcPr>
            <w:tcW w:w="341" w:type="pct"/>
            <w:tcBorders>
              <w:top w:val="nil"/>
              <w:left w:val="nil"/>
              <w:bottom w:val="nil"/>
              <w:right w:val="nil"/>
            </w:tcBorders>
            <w:shd w:val="clear" w:color="auto" w:fill="auto"/>
            <w:noWrap/>
            <w:vAlign w:val="center"/>
            <w:hideMark/>
          </w:tcPr>
          <w:p w14:paraId="680FA0A8"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-14,7%</w:t>
            </w:r>
          </w:p>
        </w:tc>
        <w:tc>
          <w:tcPr>
            <w:tcW w:w="341" w:type="pct"/>
            <w:tcBorders>
              <w:top w:val="nil"/>
              <w:left w:val="nil"/>
              <w:bottom w:val="nil"/>
              <w:right w:val="single" w:sz="8" w:space="0" w:color="8DB4E2"/>
            </w:tcBorders>
            <w:shd w:val="clear" w:color="auto" w:fill="auto"/>
            <w:noWrap/>
            <w:vAlign w:val="center"/>
            <w:hideMark/>
          </w:tcPr>
          <w:p w14:paraId="3A933B54"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-16,5%</w:t>
            </w:r>
          </w:p>
        </w:tc>
        <w:tc>
          <w:tcPr>
            <w:tcW w:w="449" w:type="pct"/>
            <w:tcBorders>
              <w:top w:val="nil"/>
              <w:left w:val="nil"/>
              <w:bottom w:val="nil"/>
              <w:right w:val="nil"/>
            </w:tcBorders>
            <w:shd w:val="clear" w:color="auto" w:fill="auto"/>
            <w:noWrap/>
            <w:vAlign w:val="center"/>
            <w:hideMark/>
          </w:tcPr>
          <w:p w14:paraId="3D57C761"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88.152</w:t>
            </w:r>
          </w:p>
        </w:tc>
        <w:tc>
          <w:tcPr>
            <w:tcW w:w="360" w:type="pct"/>
            <w:tcBorders>
              <w:top w:val="nil"/>
              <w:left w:val="nil"/>
              <w:bottom w:val="nil"/>
              <w:right w:val="nil"/>
            </w:tcBorders>
            <w:shd w:val="clear" w:color="auto" w:fill="auto"/>
            <w:noWrap/>
            <w:vAlign w:val="center"/>
            <w:hideMark/>
          </w:tcPr>
          <w:p w14:paraId="6B88A11D"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2,2%</w:t>
            </w:r>
          </w:p>
        </w:tc>
      </w:tr>
      <w:tr w:rsidR="00457198" w:rsidRPr="00457198" w14:paraId="4C0C6B21" w14:textId="77777777" w:rsidTr="00087F48">
        <w:trPr>
          <w:trHeight w:val="258"/>
        </w:trPr>
        <w:tc>
          <w:tcPr>
            <w:tcW w:w="1118" w:type="pct"/>
            <w:tcBorders>
              <w:top w:val="nil"/>
              <w:left w:val="nil"/>
              <w:bottom w:val="nil"/>
              <w:right w:val="nil"/>
            </w:tcBorders>
            <w:shd w:val="clear" w:color="auto" w:fill="auto"/>
            <w:noWrap/>
            <w:vAlign w:val="center"/>
            <w:hideMark/>
          </w:tcPr>
          <w:p w14:paraId="6C006F91" w14:textId="77777777" w:rsidR="003E0246" w:rsidRPr="00087F48" w:rsidRDefault="003E0246" w:rsidP="003E0246">
            <w:pPr>
              <w:tabs>
                <w:tab w:val="clear" w:pos="851"/>
              </w:tabs>
              <w:spacing w:before="0" w:after="0" w:line="240" w:lineRule="auto"/>
              <w:ind w:firstLineChars="100" w:firstLine="140"/>
              <w:jc w:val="left"/>
              <w:rPr>
                <w:rFonts w:ascii="Arial" w:hAnsi="Arial" w:cs="Arial"/>
                <w:color w:val="000000"/>
                <w:sz w:val="14"/>
                <w:szCs w:val="16"/>
                <w:lang w:eastAsia="pt-BR"/>
              </w:rPr>
            </w:pPr>
            <w:r w:rsidRPr="00087F48">
              <w:rPr>
                <w:rFonts w:ascii="Arial" w:hAnsi="Arial" w:cs="Arial"/>
                <w:color w:val="000000"/>
                <w:sz w:val="14"/>
                <w:szCs w:val="16"/>
                <w:lang w:eastAsia="pt-BR"/>
              </w:rPr>
              <w:t>Imobilizado</w:t>
            </w:r>
          </w:p>
        </w:tc>
        <w:tc>
          <w:tcPr>
            <w:tcW w:w="449" w:type="pct"/>
            <w:tcBorders>
              <w:top w:val="nil"/>
              <w:left w:val="nil"/>
              <w:bottom w:val="nil"/>
              <w:right w:val="nil"/>
            </w:tcBorders>
            <w:shd w:val="clear" w:color="auto" w:fill="auto"/>
            <w:noWrap/>
            <w:vAlign w:val="center"/>
            <w:hideMark/>
          </w:tcPr>
          <w:p w14:paraId="67C4EEDB"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2.121.373</w:t>
            </w:r>
          </w:p>
        </w:tc>
        <w:tc>
          <w:tcPr>
            <w:tcW w:w="407" w:type="pct"/>
            <w:tcBorders>
              <w:top w:val="nil"/>
              <w:left w:val="nil"/>
              <w:bottom w:val="nil"/>
              <w:right w:val="nil"/>
            </w:tcBorders>
            <w:shd w:val="clear" w:color="auto" w:fill="auto"/>
            <w:noWrap/>
            <w:vAlign w:val="center"/>
            <w:hideMark/>
          </w:tcPr>
          <w:p w14:paraId="090C3808"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53,00%</w:t>
            </w:r>
          </w:p>
        </w:tc>
        <w:tc>
          <w:tcPr>
            <w:tcW w:w="341" w:type="pct"/>
            <w:tcBorders>
              <w:top w:val="nil"/>
              <w:left w:val="nil"/>
              <w:bottom w:val="nil"/>
              <w:right w:val="nil"/>
            </w:tcBorders>
            <w:shd w:val="clear" w:color="auto" w:fill="auto"/>
            <w:noWrap/>
            <w:vAlign w:val="center"/>
            <w:hideMark/>
          </w:tcPr>
          <w:p w14:paraId="34CE30AC"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-5,9%</w:t>
            </w:r>
          </w:p>
        </w:tc>
        <w:tc>
          <w:tcPr>
            <w:tcW w:w="341" w:type="pct"/>
            <w:tcBorders>
              <w:top w:val="nil"/>
              <w:left w:val="nil"/>
              <w:bottom w:val="nil"/>
              <w:right w:val="single" w:sz="8" w:space="0" w:color="8DB4E2"/>
            </w:tcBorders>
            <w:shd w:val="clear" w:color="auto" w:fill="auto"/>
            <w:noWrap/>
            <w:vAlign w:val="center"/>
            <w:hideMark/>
          </w:tcPr>
          <w:p w14:paraId="652DFEF0"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-10,4%</w:t>
            </w:r>
          </w:p>
        </w:tc>
        <w:tc>
          <w:tcPr>
            <w:tcW w:w="449" w:type="pct"/>
            <w:tcBorders>
              <w:top w:val="nil"/>
              <w:left w:val="nil"/>
              <w:bottom w:val="nil"/>
              <w:right w:val="nil"/>
            </w:tcBorders>
            <w:shd w:val="clear" w:color="auto" w:fill="auto"/>
            <w:noWrap/>
            <w:vAlign w:val="center"/>
            <w:hideMark/>
          </w:tcPr>
          <w:p w14:paraId="309A2FD4"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2.253.712</w:t>
            </w:r>
          </w:p>
        </w:tc>
        <w:tc>
          <w:tcPr>
            <w:tcW w:w="407" w:type="pct"/>
            <w:tcBorders>
              <w:top w:val="nil"/>
              <w:left w:val="nil"/>
              <w:bottom w:val="nil"/>
              <w:right w:val="nil"/>
            </w:tcBorders>
            <w:shd w:val="clear" w:color="auto" w:fill="auto"/>
            <w:noWrap/>
            <w:vAlign w:val="center"/>
            <w:hideMark/>
          </w:tcPr>
          <w:p w14:paraId="2629AE69"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55,80%</w:t>
            </w:r>
          </w:p>
        </w:tc>
        <w:tc>
          <w:tcPr>
            <w:tcW w:w="341" w:type="pct"/>
            <w:tcBorders>
              <w:top w:val="nil"/>
              <w:left w:val="nil"/>
              <w:bottom w:val="nil"/>
              <w:right w:val="nil"/>
            </w:tcBorders>
            <w:shd w:val="clear" w:color="auto" w:fill="auto"/>
            <w:noWrap/>
            <w:vAlign w:val="center"/>
            <w:hideMark/>
          </w:tcPr>
          <w:p w14:paraId="2814B62E"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-4,8%</w:t>
            </w:r>
          </w:p>
        </w:tc>
        <w:tc>
          <w:tcPr>
            <w:tcW w:w="341" w:type="pct"/>
            <w:tcBorders>
              <w:top w:val="nil"/>
              <w:left w:val="nil"/>
              <w:bottom w:val="nil"/>
              <w:right w:val="single" w:sz="8" w:space="0" w:color="8DB4E2"/>
            </w:tcBorders>
            <w:shd w:val="clear" w:color="auto" w:fill="auto"/>
            <w:noWrap/>
            <w:vAlign w:val="center"/>
            <w:hideMark/>
          </w:tcPr>
          <w:p w14:paraId="3D9DD9DA"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-13,0%</w:t>
            </w:r>
          </w:p>
        </w:tc>
        <w:tc>
          <w:tcPr>
            <w:tcW w:w="449" w:type="pct"/>
            <w:tcBorders>
              <w:top w:val="nil"/>
              <w:left w:val="nil"/>
              <w:bottom w:val="nil"/>
              <w:right w:val="nil"/>
            </w:tcBorders>
            <w:shd w:val="clear" w:color="auto" w:fill="auto"/>
            <w:noWrap/>
            <w:vAlign w:val="center"/>
            <w:hideMark/>
          </w:tcPr>
          <w:p w14:paraId="6BBB638C"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2.368.459</w:t>
            </w:r>
          </w:p>
        </w:tc>
        <w:tc>
          <w:tcPr>
            <w:tcW w:w="360" w:type="pct"/>
            <w:tcBorders>
              <w:top w:val="nil"/>
              <w:left w:val="nil"/>
              <w:bottom w:val="nil"/>
              <w:right w:val="nil"/>
            </w:tcBorders>
            <w:shd w:val="clear" w:color="auto" w:fill="auto"/>
            <w:noWrap/>
            <w:vAlign w:val="center"/>
            <w:hideMark/>
          </w:tcPr>
          <w:p w14:paraId="0EE6EC85"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57,8%</w:t>
            </w:r>
          </w:p>
        </w:tc>
      </w:tr>
      <w:tr w:rsidR="00457198" w:rsidRPr="00457198" w14:paraId="44512C86" w14:textId="77777777" w:rsidTr="00087F48">
        <w:trPr>
          <w:trHeight w:val="258"/>
        </w:trPr>
        <w:tc>
          <w:tcPr>
            <w:tcW w:w="1118" w:type="pct"/>
            <w:tcBorders>
              <w:top w:val="nil"/>
              <w:left w:val="nil"/>
              <w:bottom w:val="nil"/>
              <w:right w:val="nil"/>
            </w:tcBorders>
            <w:shd w:val="clear" w:color="auto" w:fill="auto"/>
            <w:noWrap/>
            <w:vAlign w:val="center"/>
            <w:hideMark/>
          </w:tcPr>
          <w:p w14:paraId="1376AF67" w14:textId="77777777" w:rsidR="003E0246" w:rsidRPr="00087F48" w:rsidRDefault="003E0246" w:rsidP="003E0246">
            <w:pPr>
              <w:tabs>
                <w:tab w:val="clear" w:pos="851"/>
              </w:tabs>
              <w:spacing w:before="0" w:after="0" w:line="240" w:lineRule="auto"/>
              <w:ind w:firstLineChars="100" w:firstLine="140"/>
              <w:jc w:val="left"/>
              <w:rPr>
                <w:rFonts w:ascii="Arial" w:hAnsi="Arial" w:cs="Arial"/>
                <w:color w:val="000000"/>
                <w:sz w:val="14"/>
                <w:szCs w:val="16"/>
                <w:lang w:eastAsia="pt-BR"/>
              </w:rPr>
            </w:pPr>
            <w:r w:rsidRPr="00087F48">
              <w:rPr>
                <w:rFonts w:ascii="Arial" w:hAnsi="Arial" w:cs="Arial"/>
                <w:color w:val="000000"/>
                <w:sz w:val="14"/>
                <w:szCs w:val="16"/>
                <w:lang w:eastAsia="pt-BR"/>
              </w:rPr>
              <w:t>Intangível</w:t>
            </w:r>
          </w:p>
        </w:tc>
        <w:tc>
          <w:tcPr>
            <w:tcW w:w="449" w:type="pct"/>
            <w:tcBorders>
              <w:top w:val="nil"/>
              <w:left w:val="nil"/>
              <w:bottom w:val="nil"/>
              <w:right w:val="nil"/>
            </w:tcBorders>
            <w:shd w:val="clear" w:color="auto" w:fill="auto"/>
            <w:noWrap/>
            <w:vAlign w:val="center"/>
            <w:hideMark/>
          </w:tcPr>
          <w:p w14:paraId="4B33B0CC"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23.172</w:t>
            </w:r>
          </w:p>
        </w:tc>
        <w:tc>
          <w:tcPr>
            <w:tcW w:w="407" w:type="pct"/>
            <w:tcBorders>
              <w:top w:val="nil"/>
              <w:left w:val="nil"/>
              <w:bottom w:val="nil"/>
              <w:right w:val="nil"/>
            </w:tcBorders>
            <w:shd w:val="clear" w:color="auto" w:fill="auto"/>
            <w:noWrap/>
            <w:vAlign w:val="center"/>
            <w:hideMark/>
          </w:tcPr>
          <w:p w14:paraId="19126CA9"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0,60%</w:t>
            </w:r>
          </w:p>
        </w:tc>
        <w:tc>
          <w:tcPr>
            <w:tcW w:w="341" w:type="pct"/>
            <w:tcBorders>
              <w:top w:val="nil"/>
              <w:left w:val="nil"/>
              <w:bottom w:val="nil"/>
              <w:right w:val="nil"/>
            </w:tcBorders>
            <w:shd w:val="clear" w:color="auto" w:fill="auto"/>
            <w:noWrap/>
            <w:vAlign w:val="center"/>
            <w:hideMark/>
          </w:tcPr>
          <w:p w14:paraId="72DF4E1B"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-8,7%</w:t>
            </w:r>
          </w:p>
        </w:tc>
        <w:tc>
          <w:tcPr>
            <w:tcW w:w="341" w:type="pct"/>
            <w:tcBorders>
              <w:top w:val="nil"/>
              <w:left w:val="nil"/>
              <w:bottom w:val="nil"/>
              <w:right w:val="single" w:sz="8" w:space="0" w:color="8DB4E2"/>
            </w:tcBorders>
            <w:shd w:val="clear" w:color="auto" w:fill="auto"/>
            <w:noWrap/>
            <w:vAlign w:val="center"/>
            <w:hideMark/>
          </w:tcPr>
          <w:p w14:paraId="7BC46348"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-26,7%</w:t>
            </w:r>
          </w:p>
        </w:tc>
        <w:tc>
          <w:tcPr>
            <w:tcW w:w="449" w:type="pct"/>
            <w:tcBorders>
              <w:top w:val="nil"/>
              <w:left w:val="nil"/>
              <w:bottom w:val="nil"/>
              <w:right w:val="nil"/>
            </w:tcBorders>
            <w:shd w:val="clear" w:color="auto" w:fill="auto"/>
            <w:noWrap/>
            <w:vAlign w:val="center"/>
            <w:hideMark/>
          </w:tcPr>
          <w:p w14:paraId="3821BC90"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25.381</w:t>
            </w:r>
          </w:p>
        </w:tc>
        <w:tc>
          <w:tcPr>
            <w:tcW w:w="407" w:type="pct"/>
            <w:tcBorders>
              <w:top w:val="nil"/>
              <w:left w:val="nil"/>
              <w:bottom w:val="nil"/>
              <w:right w:val="nil"/>
            </w:tcBorders>
            <w:shd w:val="clear" w:color="auto" w:fill="auto"/>
            <w:noWrap/>
            <w:vAlign w:val="center"/>
            <w:hideMark/>
          </w:tcPr>
          <w:p w14:paraId="014BC073"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0,60%</w:t>
            </w:r>
          </w:p>
        </w:tc>
        <w:tc>
          <w:tcPr>
            <w:tcW w:w="341" w:type="pct"/>
            <w:tcBorders>
              <w:top w:val="nil"/>
              <w:left w:val="nil"/>
              <w:bottom w:val="nil"/>
              <w:right w:val="nil"/>
            </w:tcBorders>
            <w:shd w:val="clear" w:color="auto" w:fill="auto"/>
            <w:noWrap/>
            <w:vAlign w:val="center"/>
            <w:hideMark/>
          </w:tcPr>
          <w:p w14:paraId="5222B0FA"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-19,7%</w:t>
            </w:r>
          </w:p>
        </w:tc>
        <w:tc>
          <w:tcPr>
            <w:tcW w:w="341" w:type="pct"/>
            <w:tcBorders>
              <w:top w:val="nil"/>
              <w:left w:val="nil"/>
              <w:bottom w:val="nil"/>
              <w:right w:val="single" w:sz="8" w:space="0" w:color="8DB4E2"/>
            </w:tcBorders>
            <w:shd w:val="clear" w:color="auto" w:fill="auto"/>
            <w:noWrap/>
            <w:vAlign w:val="center"/>
            <w:hideMark/>
          </w:tcPr>
          <w:p w14:paraId="17EC3F51"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-9,0%</w:t>
            </w:r>
          </w:p>
        </w:tc>
        <w:tc>
          <w:tcPr>
            <w:tcW w:w="449" w:type="pct"/>
            <w:tcBorders>
              <w:top w:val="nil"/>
              <w:left w:val="nil"/>
              <w:bottom w:val="nil"/>
              <w:right w:val="nil"/>
            </w:tcBorders>
            <w:shd w:val="clear" w:color="auto" w:fill="auto"/>
            <w:noWrap/>
            <w:vAlign w:val="center"/>
            <w:hideMark/>
          </w:tcPr>
          <w:p w14:paraId="5D45B2DB"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31.610</w:t>
            </w:r>
          </w:p>
        </w:tc>
        <w:tc>
          <w:tcPr>
            <w:tcW w:w="360" w:type="pct"/>
            <w:tcBorders>
              <w:top w:val="nil"/>
              <w:left w:val="nil"/>
              <w:bottom w:val="nil"/>
              <w:right w:val="nil"/>
            </w:tcBorders>
            <w:shd w:val="clear" w:color="auto" w:fill="auto"/>
            <w:noWrap/>
            <w:vAlign w:val="center"/>
            <w:hideMark/>
          </w:tcPr>
          <w:p w14:paraId="55EB70BF"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0,8%</w:t>
            </w:r>
          </w:p>
        </w:tc>
      </w:tr>
      <w:tr w:rsidR="00457198" w:rsidRPr="00457198" w14:paraId="2843AEF1" w14:textId="77777777" w:rsidTr="00087F48">
        <w:trPr>
          <w:trHeight w:val="258"/>
        </w:trPr>
        <w:tc>
          <w:tcPr>
            <w:tcW w:w="1118" w:type="pct"/>
            <w:tcBorders>
              <w:top w:val="single" w:sz="8" w:space="0" w:color="8DB4E2"/>
              <w:left w:val="nil"/>
              <w:bottom w:val="single" w:sz="8" w:space="0" w:color="8DB4E2"/>
              <w:right w:val="nil"/>
            </w:tcBorders>
            <w:shd w:val="clear" w:color="auto" w:fill="auto"/>
            <w:noWrap/>
            <w:vAlign w:val="center"/>
            <w:hideMark/>
          </w:tcPr>
          <w:p w14:paraId="7925E20C" w14:textId="77777777" w:rsidR="003E0246" w:rsidRPr="00087F48" w:rsidRDefault="003E0246" w:rsidP="003E0246">
            <w:pPr>
              <w:tabs>
                <w:tab w:val="clear" w:pos="851"/>
              </w:tabs>
              <w:spacing w:before="0" w:after="0" w:line="240" w:lineRule="auto"/>
              <w:jc w:val="left"/>
              <w:rPr>
                <w:rFonts w:ascii="Arial" w:hAnsi="Arial" w:cs="Arial"/>
                <w:b/>
                <w:bCs/>
                <w:color w:val="000000"/>
                <w:sz w:val="14"/>
                <w:szCs w:val="16"/>
                <w:lang w:eastAsia="pt-BR"/>
              </w:rPr>
            </w:pPr>
            <w:r w:rsidRPr="00087F48">
              <w:rPr>
                <w:rFonts w:ascii="Arial" w:hAnsi="Arial" w:cs="Arial"/>
                <w:b/>
                <w:bCs/>
                <w:color w:val="000000"/>
                <w:sz w:val="14"/>
                <w:szCs w:val="16"/>
                <w:lang w:eastAsia="pt-BR"/>
              </w:rPr>
              <w:t>Ativo Total</w:t>
            </w:r>
          </w:p>
        </w:tc>
        <w:tc>
          <w:tcPr>
            <w:tcW w:w="449" w:type="pct"/>
            <w:tcBorders>
              <w:top w:val="single" w:sz="8" w:space="0" w:color="8DB4E2"/>
              <w:left w:val="nil"/>
              <w:bottom w:val="single" w:sz="8" w:space="0" w:color="8DB4E2"/>
              <w:right w:val="nil"/>
            </w:tcBorders>
            <w:shd w:val="clear" w:color="auto" w:fill="auto"/>
            <w:noWrap/>
            <w:vAlign w:val="center"/>
            <w:hideMark/>
          </w:tcPr>
          <w:p w14:paraId="3D5DF09A"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4.003.587</w:t>
            </w:r>
          </w:p>
        </w:tc>
        <w:tc>
          <w:tcPr>
            <w:tcW w:w="407" w:type="pct"/>
            <w:tcBorders>
              <w:top w:val="single" w:sz="8" w:space="0" w:color="8DB4E2"/>
              <w:left w:val="nil"/>
              <w:bottom w:val="single" w:sz="8" w:space="0" w:color="8DB4E2"/>
              <w:right w:val="nil"/>
            </w:tcBorders>
            <w:shd w:val="clear" w:color="auto" w:fill="auto"/>
            <w:noWrap/>
            <w:vAlign w:val="center"/>
            <w:hideMark/>
          </w:tcPr>
          <w:p w14:paraId="57E422BA"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100,00%</w:t>
            </w:r>
          </w:p>
        </w:tc>
        <w:tc>
          <w:tcPr>
            <w:tcW w:w="341" w:type="pct"/>
            <w:tcBorders>
              <w:top w:val="single" w:sz="8" w:space="0" w:color="8DB4E2"/>
              <w:left w:val="nil"/>
              <w:bottom w:val="single" w:sz="8" w:space="0" w:color="8DB4E2"/>
              <w:right w:val="nil"/>
            </w:tcBorders>
            <w:shd w:val="clear" w:color="auto" w:fill="auto"/>
            <w:noWrap/>
            <w:vAlign w:val="center"/>
            <w:hideMark/>
          </w:tcPr>
          <w:p w14:paraId="66153127"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-0,8%</w:t>
            </w:r>
          </w:p>
        </w:tc>
        <w:tc>
          <w:tcPr>
            <w:tcW w:w="341" w:type="pct"/>
            <w:tcBorders>
              <w:top w:val="single" w:sz="8" w:space="0" w:color="8DB4E2"/>
              <w:left w:val="nil"/>
              <w:bottom w:val="single" w:sz="8" w:space="0" w:color="8DB4E2"/>
              <w:right w:val="single" w:sz="8" w:space="0" w:color="8DB4E2"/>
            </w:tcBorders>
            <w:shd w:val="clear" w:color="auto" w:fill="auto"/>
            <w:noWrap/>
            <w:vAlign w:val="center"/>
            <w:hideMark/>
          </w:tcPr>
          <w:p w14:paraId="560BA179"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-2,3%</w:t>
            </w:r>
          </w:p>
        </w:tc>
        <w:tc>
          <w:tcPr>
            <w:tcW w:w="449" w:type="pct"/>
            <w:tcBorders>
              <w:top w:val="single" w:sz="8" w:space="0" w:color="8DB4E2"/>
              <w:left w:val="nil"/>
              <w:bottom w:val="single" w:sz="8" w:space="0" w:color="8DB4E2"/>
              <w:right w:val="nil"/>
            </w:tcBorders>
            <w:shd w:val="clear" w:color="auto" w:fill="auto"/>
            <w:noWrap/>
            <w:vAlign w:val="center"/>
            <w:hideMark/>
          </w:tcPr>
          <w:p w14:paraId="173E85E9"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4.035.411</w:t>
            </w:r>
          </w:p>
        </w:tc>
        <w:tc>
          <w:tcPr>
            <w:tcW w:w="407" w:type="pct"/>
            <w:tcBorders>
              <w:top w:val="single" w:sz="8" w:space="0" w:color="8DB4E2"/>
              <w:left w:val="nil"/>
              <w:bottom w:val="single" w:sz="8" w:space="0" w:color="8DB4E2"/>
              <w:right w:val="nil"/>
            </w:tcBorders>
            <w:shd w:val="clear" w:color="auto" w:fill="auto"/>
            <w:noWrap/>
            <w:vAlign w:val="center"/>
            <w:hideMark/>
          </w:tcPr>
          <w:p w14:paraId="54A40526"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100,00%</w:t>
            </w:r>
          </w:p>
        </w:tc>
        <w:tc>
          <w:tcPr>
            <w:tcW w:w="341" w:type="pct"/>
            <w:tcBorders>
              <w:top w:val="single" w:sz="8" w:space="0" w:color="8DB4E2"/>
              <w:left w:val="nil"/>
              <w:bottom w:val="single" w:sz="8" w:space="0" w:color="8DB4E2"/>
              <w:right w:val="nil"/>
            </w:tcBorders>
            <w:shd w:val="clear" w:color="auto" w:fill="auto"/>
            <w:noWrap/>
            <w:vAlign w:val="center"/>
            <w:hideMark/>
          </w:tcPr>
          <w:p w14:paraId="336663EA"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-1,6%</w:t>
            </w:r>
          </w:p>
        </w:tc>
        <w:tc>
          <w:tcPr>
            <w:tcW w:w="341" w:type="pct"/>
            <w:tcBorders>
              <w:top w:val="single" w:sz="8" w:space="0" w:color="8DB4E2"/>
              <w:left w:val="nil"/>
              <w:bottom w:val="single" w:sz="8" w:space="0" w:color="8DB4E2"/>
              <w:right w:val="single" w:sz="8" w:space="0" w:color="8DB4E2"/>
            </w:tcBorders>
            <w:shd w:val="clear" w:color="auto" w:fill="auto"/>
            <w:noWrap/>
            <w:vAlign w:val="center"/>
            <w:hideMark/>
          </w:tcPr>
          <w:p w14:paraId="7A13CB11"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-4,9%</w:t>
            </w:r>
          </w:p>
        </w:tc>
        <w:tc>
          <w:tcPr>
            <w:tcW w:w="449" w:type="pct"/>
            <w:tcBorders>
              <w:top w:val="single" w:sz="8" w:space="0" w:color="8DB4E2"/>
              <w:left w:val="nil"/>
              <w:bottom w:val="single" w:sz="8" w:space="0" w:color="8DB4E2"/>
              <w:right w:val="nil"/>
            </w:tcBorders>
            <w:shd w:val="clear" w:color="auto" w:fill="auto"/>
            <w:noWrap/>
            <w:vAlign w:val="center"/>
            <w:hideMark/>
          </w:tcPr>
          <w:p w14:paraId="64623AD1"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4.099.054</w:t>
            </w:r>
          </w:p>
        </w:tc>
        <w:tc>
          <w:tcPr>
            <w:tcW w:w="360" w:type="pct"/>
            <w:tcBorders>
              <w:top w:val="single" w:sz="8" w:space="0" w:color="8DB4E2"/>
              <w:left w:val="nil"/>
              <w:bottom w:val="single" w:sz="8" w:space="0" w:color="8DB4E2"/>
              <w:right w:val="nil"/>
            </w:tcBorders>
            <w:shd w:val="clear" w:color="auto" w:fill="auto"/>
            <w:noWrap/>
            <w:vAlign w:val="center"/>
            <w:hideMark/>
          </w:tcPr>
          <w:p w14:paraId="277756A5"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100,0%</w:t>
            </w:r>
          </w:p>
        </w:tc>
      </w:tr>
      <w:tr w:rsidR="00457198" w:rsidRPr="00457198" w14:paraId="7FE77318" w14:textId="77777777" w:rsidTr="00087F48">
        <w:trPr>
          <w:trHeight w:val="258"/>
        </w:trPr>
        <w:tc>
          <w:tcPr>
            <w:tcW w:w="1118" w:type="pct"/>
            <w:tcBorders>
              <w:top w:val="nil"/>
              <w:left w:val="nil"/>
              <w:bottom w:val="nil"/>
              <w:right w:val="nil"/>
            </w:tcBorders>
            <w:shd w:val="clear" w:color="auto" w:fill="auto"/>
            <w:noWrap/>
            <w:vAlign w:val="center"/>
            <w:hideMark/>
          </w:tcPr>
          <w:p w14:paraId="479B1377" w14:textId="77777777" w:rsidR="003E0246" w:rsidRPr="00087F48" w:rsidRDefault="003E0246" w:rsidP="003E0246">
            <w:pPr>
              <w:tabs>
                <w:tab w:val="clear" w:pos="851"/>
              </w:tabs>
              <w:spacing w:before="0" w:after="0" w:line="240" w:lineRule="auto"/>
              <w:jc w:val="left"/>
              <w:rPr>
                <w:rFonts w:ascii="Arial" w:hAnsi="Arial" w:cs="Arial"/>
                <w:color w:val="000000"/>
                <w:sz w:val="14"/>
                <w:szCs w:val="16"/>
                <w:lang w:eastAsia="pt-BR"/>
              </w:rPr>
            </w:pPr>
            <w:r w:rsidRPr="00087F48">
              <w:rPr>
                <w:rFonts w:ascii="Arial" w:hAnsi="Arial" w:cs="Arial"/>
                <w:color w:val="000000"/>
                <w:sz w:val="14"/>
                <w:szCs w:val="16"/>
                <w:lang w:eastAsia="pt-BR"/>
              </w:rPr>
              <w:t>Passivo Circulante</w:t>
            </w:r>
          </w:p>
        </w:tc>
        <w:tc>
          <w:tcPr>
            <w:tcW w:w="449" w:type="pct"/>
            <w:tcBorders>
              <w:top w:val="nil"/>
              <w:left w:val="nil"/>
              <w:bottom w:val="nil"/>
              <w:right w:val="nil"/>
            </w:tcBorders>
            <w:shd w:val="clear" w:color="auto" w:fill="auto"/>
            <w:noWrap/>
            <w:vAlign w:val="center"/>
            <w:hideMark/>
          </w:tcPr>
          <w:p w14:paraId="234693C0"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280.660</w:t>
            </w:r>
          </w:p>
        </w:tc>
        <w:tc>
          <w:tcPr>
            <w:tcW w:w="407" w:type="pct"/>
            <w:tcBorders>
              <w:top w:val="nil"/>
              <w:left w:val="nil"/>
              <w:bottom w:val="nil"/>
              <w:right w:val="nil"/>
            </w:tcBorders>
            <w:shd w:val="clear" w:color="auto" w:fill="auto"/>
            <w:noWrap/>
            <w:vAlign w:val="center"/>
            <w:hideMark/>
          </w:tcPr>
          <w:p w14:paraId="659EE638"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7,00%</w:t>
            </w:r>
          </w:p>
        </w:tc>
        <w:tc>
          <w:tcPr>
            <w:tcW w:w="341" w:type="pct"/>
            <w:tcBorders>
              <w:top w:val="nil"/>
              <w:left w:val="nil"/>
              <w:bottom w:val="nil"/>
              <w:right w:val="nil"/>
            </w:tcBorders>
            <w:shd w:val="clear" w:color="auto" w:fill="auto"/>
            <w:noWrap/>
            <w:vAlign w:val="center"/>
            <w:hideMark/>
          </w:tcPr>
          <w:p w14:paraId="1BF2D866"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-12,7%</w:t>
            </w:r>
          </w:p>
        </w:tc>
        <w:tc>
          <w:tcPr>
            <w:tcW w:w="341" w:type="pct"/>
            <w:tcBorders>
              <w:top w:val="nil"/>
              <w:left w:val="nil"/>
              <w:bottom w:val="nil"/>
              <w:right w:val="single" w:sz="8" w:space="0" w:color="8DB4E2"/>
            </w:tcBorders>
            <w:shd w:val="clear" w:color="auto" w:fill="auto"/>
            <w:noWrap/>
            <w:vAlign w:val="center"/>
            <w:hideMark/>
          </w:tcPr>
          <w:p w14:paraId="4E6483AA"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-13,3%</w:t>
            </w:r>
          </w:p>
        </w:tc>
        <w:tc>
          <w:tcPr>
            <w:tcW w:w="449" w:type="pct"/>
            <w:tcBorders>
              <w:top w:val="nil"/>
              <w:left w:val="nil"/>
              <w:bottom w:val="nil"/>
              <w:right w:val="nil"/>
            </w:tcBorders>
            <w:shd w:val="clear" w:color="auto" w:fill="auto"/>
            <w:noWrap/>
            <w:vAlign w:val="center"/>
            <w:hideMark/>
          </w:tcPr>
          <w:p w14:paraId="011BFCF5"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321.615</w:t>
            </w:r>
          </w:p>
        </w:tc>
        <w:tc>
          <w:tcPr>
            <w:tcW w:w="407" w:type="pct"/>
            <w:tcBorders>
              <w:top w:val="nil"/>
              <w:left w:val="nil"/>
              <w:bottom w:val="nil"/>
              <w:right w:val="nil"/>
            </w:tcBorders>
            <w:shd w:val="clear" w:color="auto" w:fill="auto"/>
            <w:noWrap/>
            <w:vAlign w:val="center"/>
            <w:hideMark/>
          </w:tcPr>
          <w:p w14:paraId="29C40192"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8,00%</w:t>
            </w:r>
          </w:p>
        </w:tc>
        <w:tc>
          <w:tcPr>
            <w:tcW w:w="341" w:type="pct"/>
            <w:tcBorders>
              <w:top w:val="nil"/>
              <w:left w:val="nil"/>
              <w:bottom w:val="nil"/>
              <w:right w:val="nil"/>
            </w:tcBorders>
            <w:shd w:val="clear" w:color="auto" w:fill="auto"/>
            <w:noWrap/>
            <w:vAlign w:val="center"/>
            <w:hideMark/>
          </w:tcPr>
          <w:p w14:paraId="5F7D0B37"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-0,6%</w:t>
            </w:r>
          </w:p>
        </w:tc>
        <w:tc>
          <w:tcPr>
            <w:tcW w:w="341" w:type="pct"/>
            <w:tcBorders>
              <w:top w:val="nil"/>
              <w:left w:val="nil"/>
              <w:bottom w:val="nil"/>
              <w:right w:val="single" w:sz="8" w:space="0" w:color="8DB4E2"/>
            </w:tcBorders>
            <w:shd w:val="clear" w:color="auto" w:fill="auto"/>
            <w:noWrap/>
            <w:vAlign w:val="center"/>
            <w:hideMark/>
          </w:tcPr>
          <w:p w14:paraId="5B2425C4"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6,9%</w:t>
            </w:r>
          </w:p>
        </w:tc>
        <w:tc>
          <w:tcPr>
            <w:tcW w:w="449" w:type="pct"/>
            <w:tcBorders>
              <w:top w:val="nil"/>
              <w:left w:val="nil"/>
              <w:bottom w:val="nil"/>
              <w:right w:val="nil"/>
            </w:tcBorders>
            <w:shd w:val="clear" w:color="auto" w:fill="auto"/>
            <w:noWrap/>
            <w:vAlign w:val="center"/>
            <w:hideMark/>
          </w:tcPr>
          <w:p w14:paraId="14C9BE33"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323.710</w:t>
            </w:r>
          </w:p>
        </w:tc>
        <w:tc>
          <w:tcPr>
            <w:tcW w:w="360" w:type="pct"/>
            <w:tcBorders>
              <w:top w:val="nil"/>
              <w:left w:val="nil"/>
              <w:bottom w:val="nil"/>
              <w:right w:val="nil"/>
            </w:tcBorders>
            <w:shd w:val="clear" w:color="auto" w:fill="auto"/>
            <w:noWrap/>
            <w:vAlign w:val="center"/>
            <w:hideMark/>
          </w:tcPr>
          <w:p w14:paraId="1A9276E2"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7,9%</w:t>
            </w:r>
          </w:p>
        </w:tc>
      </w:tr>
      <w:tr w:rsidR="00457198" w:rsidRPr="00457198" w14:paraId="2564B450" w14:textId="77777777" w:rsidTr="00087F48">
        <w:trPr>
          <w:trHeight w:val="258"/>
        </w:trPr>
        <w:tc>
          <w:tcPr>
            <w:tcW w:w="1118" w:type="pct"/>
            <w:tcBorders>
              <w:top w:val="nil"/>
              <w:left w:val="nil"/>
              <w:bottom w:val="nil"/>
              <w:right w:val="nil"/>
            </w:tcBorders>
            <w:shd w:val="clear" w:color="auto" w:fill="auto"/>
            <w:noWrap/>
            <w:vAlign w:val="center"/>
            <w:hideMark/>
          </w:tcPr>
          <w:p w14:paraId="6D376C5B" w14:textId="77777777" w:rsidR="003E0246" w:rsidRPr="00087F48" w:rsidRDefault="003E0246" w:rsidP="003E0246">
            <w:pPr>
              <w:tabs>
                <w:tab w:val="clear" w:pos="851"/>
              </w:tabs>
              <w:spacing w:before="0" w:after="0" w:line="240" w:lineRule="auto"/>
              <w:jc w:val="left"/>
              <w:rPr>
                <w:rFonts w:ascii="Arial" w:hAnsi="Arial" w:cs="Arial"/>
                <w:color w:val="000000"/>
                <w:sz w:val="14"/>
                <w:szCs w:val="16"/>
                <w:lang w:eastAsia="pt-BR"/>
              </w:rPr>
            </w:pPr>
            <w:r w:rsidRPr="00087F48">
              <w:rPr>
                <w:rFonts w:ascii="Arial" w:hAnsi="Arial" w:cs="Arial"/>
                <w:color w:val="000000"/>
                <w:sz w:val="14"/>
                <w:szCs w:val="16"/>
                <w:lang w:eastAsia="pt-BR"/>
              </w:rPr>
              <w:t>Passivo Não Circulante</w:t>
            </w:r>
          </w:p>
        </w:tc>
        <w:tc>
          <w:tcPr>
            <w:tcW w:w="449" w:type="pct"/>
            <w:tcBorders>
              <w:top w:val="nil"/>
              <w:left w:val="nil"/>
              <w:bottom w:val="nil"/>
              <w:right w:val="nil"/>
            </w:tcBorders>
            <w:shd w:val="clear" w:color="auto" w:fill="auto"/>
            <w:noWrap/>
            <w:vAlign w:val="center"/>
            <w:hideMark/>
          </w:tcPr>
          <w:p w14:paraId="0244DD04"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2.297.276</w:t>
            </w:r>
          </w:p>
        </w:tc>
        <w:tc>
          <w:tcPr>
            <w:tcW w:w="407" w:type="pct"/>
            <w:tcBorders>
              <w:top w:val="nil"/>
              <w:left w:val="nil"/>
              <w:bottom w:val="nil"/>
              <w:right w:val="nil"/>
            </w:tcBorders>
            <w:shd w:val="clear" w:color="auto" w:fill="auto"/>
            <w:noWrap/>
            <w:vAlign w:val="center"/>
            <w:hideMark/>
          </w:tcPr>
          <w:p w14:paraId="26DFA2F8"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57,40%</w:t>
            </w:r>
          </w:p>
        </w:tc>
        <w:tc>
          <w:tcPr>
            <w:tcW w:w="341" w:type="pct"/>
            <w:tcBorders>
              <w:top w:val="nil"/>
              <w:left w:val="nil"/>
              <w:bottom w:val="nil"/>
              <w:right w:val="nil"/>
            </w:tcBorders>
            <w:shd w:val="clear" w:color="auto" w:fill="auto"/>
            <w:noWrap/>
            <w:vAlign w:val="center"/>
            <w:hideMark/>
          </w:tcPr>
          <w:p w14:paraId="6C7BC6A1"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6,4%</w:t>
            </w:r>
          </w:p>
        </w:tc>
        <w:tc>
          <w:tcPr>
            <w:tcW w:w="341" w:type="pct"/>
            <w:tcBorders>
              <w:top w:val="nil"/>
              <w:left w:val="nil"/>
              <w:bottom w:val="nil"/>
              <w:right w:val="single" w:sz="8" w:space="0" w:color="8DB4E2"/>
            </w:tcBorders>
            <w:shd w:val="clear" w:color="auto" w:fill="auto"/>
            <w:noWrap/>
            <w:vAlign w:val="center"/>
            <w:hideMark/>
          </w:tcPr>
          <w:p w14:paraId="63800AB8"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-4,8%</w:t>
            </w:r>
          </w:p>
        </w:tc>
        <w:tc>
          <w:tcPr>
            <w:tcW w:w="449" w:type="pct"/>
            <w:tcBorders>
              <w:top w:val="nil"/>
              <w:left w:val="nil"/>
              <w:bottom w:val="nil"/>
              <w:right w:val="nil"/>
            </w:tcBorders>
            <w:shd w:val="clear" w:color="auto" w:fill="auto"/>
            <w:noWrap/>
            <w:vAlign w:val="center"/>
            <w:hideMark/>
          </w:tcPr>
          <w:p w14:paraId="422814FA"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2.158.693</w:t>
            </w:r>
          </w:p>
        </w:tc>
        <w:tc>
          <w:tcPr>
            <w:tcW w:w="407" w:type="pct"/>
            <w:tcBorders>
              <w:top w:val="nil"/>
              <w:left w:val="nil"/>
              <w:bottom w:val="nil"/>
              <w:right w:val="nil"/>
            </w:tcBorders>
            <w:shd w:val="clear" w:color="auto" w:fill="auto"/>
            <w:noWrap/>
            <w:vAlign w:val="center"/>
            <w:hideMark/>
          </w:tcPr>
          <w:p w14:paraId="16B99663"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53,50%</w:t>
            </w:r>
          </w:p>
        </w:tc>
        <w:tc>
          <w:tcPr>
            <w:tcW w:w="341" w:type="pct"/>
            <w:tcBorders>
              <w:top w:val="nil"/>
              <w:left w:val="nil"/>
              <w:bottom w:val="nil"/>
              <w:right w:val="nil"/>
            </w:tcBorders>
            <w:shd w:val="clear" w:color="auto" w:fill="auto"/>
            <w:noWrap/>
            <w:vAlign w:val="center"/>
            <w:hideMark/>
          </w:tcPr>
          <w:p w14:paraId="68CB0617"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-10,5%</w:t>
            </w:r>
          </w:p>
        </w:tc>
        <w:tc>
          <w:tcPr>
            <w:tcW w:w="341" w:type="pct"/>
            <w:tcBorders>
              <w:top w:val="nil"/>
              <w:left w:val="nil"/>
              <w:bottom w:val="nil"/>
              <w:right w:val="single" w:sz="8" w:space="0" w:color="8DB4E2"/>
            </w:tcBorders>
            <w:shd w:val="clear" w:color="auto" w:fill="auto"/>
            <w:noWrap/>
            <w:vAlign w:val="center"/>
            <w:hideMark/>
          </w:tcPr>
          <w:p w14:paraId="4FB58E0D"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-10,8%</w:t>
            </w:r>
          </w:p>
        </w:tc>
        <w:tc>
          <w:tcPr>
            <w:tcW w:w="449" w:type="pct"/>
            <w:tcBorders>
              <w:top w:val="nil"/>
              <w:left w:val="nil"/>
              <w:bottom w:val="nil"/>
              <w:right w:val="nil"/>
            </w:tcBorders>
            <w:shd w:val="clear" w:color="auto" w:fill="auto"/>
            <w:noWrap/>
            <w:vAlign w:val="center"/>
            <w:hideMark/>
          </w:tcPr>
          <w:p w14:paraId="03175F92"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2.412.134</w:t>
            </w:r>
          </w:p>
        </w:tc>
        <w:tc>
          <w:tcPr>
            <w:tcW w:w="360" w:type="pct"/>
            <w:tcBorders>
              <w:top w:val="nil"/>
              <w:left w:val="nil"/>
              <w:bottom w:val="nil"/>
              <w:right w:val="nil"/>
            </w:tcBorders>
            <w:shd w:val="clear" w:color="auto" w:fill="auto"/>
            <w:noWrap/>
            <w:vAlign w:val="center"/>
            <w:hideMark/>
          </w:tcPr>
          <w:p w14:paraId="32BA0529"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58,8%</w:t>
            </w:r>
          </w:p>
        </w:tc>
      </w:tr>
      <w:tr w:rsidR="00457198" w:rsidRPr="00457198" w14:paraId="6504CC82" w14:textId="77777777" w:rsidTr="00087F48">
        <w:trPr>
          <w:trHeight w:val="258"/>
        </w:trPr>
        <w:tc>
          <w:tcPr>
            <w:tcW w:w="1118" w:type="pct"/>
            <w:tcBorders>
              <w:top w:val="nil"/>
              <w:left w:val="nil"/>
              <w:bottom w:val="nil"/>
              <w:right w:val="nil"/>
            </w:tcBorders>
            <w:shd w:val="clear" w:color="auto" w:fill="auto"/>
            <w:noWrap/>
            <w:vAlign w:val="center"/>
            <w:hideMark/>
          </w:tcPr>
          <w:p w14:paraId="2366374F" w14:textId="77777777" w:rsidR="003E0246" w:rsidRPr="00087F48" w:rsidRDefault="003E0246" w:rsidP="003E0246">
            <w:pPr>
              <w:tabs>
                <w:tab w:val="clear" w:pos="851"/>
              </w:tabs>
              <w:spacing w:before="0" w:after="0" w:line="240" w:lineRule="auto"/>
              <w:jc w:val="left"/>
              <w:rPr>
                <w:rFonts w:ascii="Arial" w:hAnsi="Arial" w:cs="Arial"/>
                <w:b/>
                <w:bCs/>
                <w:color w:val="000000"/>
                <w:sz w:val="14"/>
                <w:szCs w:val="16"/>
                <w:lang w:eastAsia="pt-BR"/>
              </w:rPr>
            </w:pPr>
            <w:r w:rsidRPr="00087F48">
              <w:rPr>
                <w:rFonts w:ascii="Arial" w:hAnsi="Arial" w:cs="Arial"/>
                <w:b/>
                <w:bCs/>
                <w:color w:val="000000"/>
                <w:sz w:val="14"/>
                <w:szCs w:val="16"/>
                <w:lang w:eastAsia="pt-BR"/>
              </w:rPr>
              <w:t>Passivo Exigível</w:t>
            </w:r>
          </w:p>
        </w:tc>
        <w:tc>
          <w:tcPr>
            <w:tcW w:w="449" w:type="pct"/>
            <w:tcBorders>
              <w:top w:val="nil"/>
              <w:left w:val="nil"/>
              <w:bottom w:val="nil"/>
              <w:right w:val="nil"/>
            </w:tcBorders>
            <w:shd w:val="clear" w:color="auto" w:fill="auto"/>
            <w:noWrap/>
            <w:vAlign w:val="center"/>
            <w:hideMark/>
          </w:tcPr>
          <w:p w14:paraId="236487CD"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2.577.936</w:t>
            </w:r>
          </w:p>
        </w:tc>
        <w:tc>
          <w:tcPr>
            <w:tcW w:w="407" w:type="pct"/>
            <w:tcBorders>
              <w:top w:val="nil"/>
              <w:left w:val="nil"/>
              <w:bottom w:val="nil"/>
              <w:right w:val="nil"/>
            </w:tcBorders>
            <w:shd w:val="clear" w:color="auto" w:fill="auto"/>
            <w:noWrap/>
            <w:vAlign w:val="center"/>
            <w:hideMark/>
          </w:tcPr>
          <w:p w14:paraId="62BA7C7E"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64,40%</w:t>
            </w:r>
          </w:p>
        </w:tc>
        <w:tc>
          <w:tcPr>
            <w:tcW w:w="341" w:type="pct"/>
            <w:tcBorders>
              <w:top w:val="nil"/>
              <w:left w:val="nil"/>
              <w:bottom w:val="nil"/>
              <w:right w:val="nil"/>
            </w:tcBorders>
            <w:shd w:val="clear" w:color="auto" w:fill="auto"/>
            <w:noWrap/>
            <w:vAlign w:val="center"/>
            <w:hideMark/>
          </w:tcPr>
          <w:p w14:paraId="2746D062"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3,9%</w:t>
            </w:r>
          </w:p>
        </w:tc>
        <w:tc>
          <w:tcPr>
            <w:tcW w:w="341" w:type="pct"/>
            <w:tcBorders>
              <w:top w:val="nil"/>
              <w:left w:val="nil"/>
              <w:bottom w:val="nil"/>
              <w:right w:val="single" w:sz="8" w:space="0" w:color="8DB4E2"/>
            </w:tcBorders>
            <w:shd w:val="clear" w:color="auto" w:fill="auto"/>
            <w:noWrap/>
            <w:vAlign w:val="center"/>
            <w:hideMark/>
          </w:tcPr>
          <w:p w14:paraId="62B4F493"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-5,8%</w:t>
            </w:r>
          </w:p>
        </w:tc>
        <w:tc>
          <w:tcPr>
            <w:tcW w:w="449" w:type="pct"/>
            <w:tcBorders>
              <w:top w:val="nil"/>
              <w:left w:val="nil"/>
              <w:bottom w:val="nil"/>
              <w:right w:val="nil"/>
            </w:tcBorders>
            <w:shd w:val="clear" w:color="auto" w:fill="auto"/>
            <w:noWrap/>
            <w:vAlign w:val="center"/>
            <w:hideMark/>
          </w:tcPr>
          <w:p w14:paraId="5317955A"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2.480.308</w:t>
            </w:r>
          </w:p>
        </w:tc>
        <w:tc>
          <w:tcPr>
            <w:tcW w:w="407" w:type="pct"/>
            <w:tcBorders>
              <w:top w:val="nil"/>
              <w:left w:val="nil"/>
              <w:bottom w:val="nil"/>
              <w:right w:val="nil"/>
            </w:tcBorders>
            <w:shd w:val="clear" w:color="auto" w:fill="auto"/>
            <w:noWrap/>
            <w:vAlign w:val="center"/>
            <w:hideMark/>
          </w:tcPr>
          <w:p w14:paraId="4AC97164"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61,50%</w:t>
            </w:r>
          </w:p>
        </w:tc>
        <w:tc>
          <w:tcPr>
            <w:tcW w:w="341" w:type="pct"/>
            <w:tcBorders>
              <w:top w:val="nil"/>
              <w:left w:val="nil"/>
              <w:bottom w:val="nil"/>
              <w:right w:val="nil"/>
            </w:tcBorders>
            <w:shd w:val="clear" w:color="auto" w:fill="auto"/>
            <w:noWrap/>
            <w:vAlign w:val="center"/>
            <w:hideMark/>
          </w:tcPr>
          <w:p w14:paraId="2D0FDF0C"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-9,3%</w:t>
            </w:r>
          </w:p>
        </w:tc>
        <w:tc>
          <w:tcPr>
            <w:tcW w:w="341" w:type="pct"/>
            <w:tcBorders>
              <w:top w:val="nil"/>
              <w:left w:val="nil"/>
              <w:bottom w:val="nil"/>
              <w:right w:val="single" w:sz="8" w:space="0" w:color="8DB4E2"/>
            </w:tcBorders>
            <w:shd w:val="clear" w:color="auto" w:fill="auto"/>
            <w:noWrap/>
            <w:vAlign w:val="center"/>
            <w:hideMark/>
          </w:tcPr>
          <w:p w14:paraId="54ECA168"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-8,9%</w:t>
            </w:r>
          </w:p>
        </w:tc>
        <w:tc>
          <w:tcPr>
            <w:tcW w:w="449" w:type="pct"/>
            <w:tcBorders>
              <w:top w:val="nil"/>
              <w:left w:val="nil"/>
              <w:bottom w:val="nil"/>
              <w:right w:val="nil"/>
            </w:tcBorders>
            <w:shd w:val="clear" w:color="auto" w:fill="auto"/>
            <w:noWrap/>
            <w:vAlign w:val="center"/>
            <w:hideMark/>
          </w:tcPr>
          <w:p w14:paraId="14F8E8A7"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2.735.844</w:t>
            </w:r>
          </w:p>
        </w:tc>
        <w:tc>
          <w:tcPr>
            <w:tcW w:w="360" w:type="pct"/>
            <w:tcBorders>
              <w:top w:val="nil"/>
              <w:left w:val="nil"/>
              <w:bottom w:val="nil"/>
              <w:right w:val="nil"/>
            </w:tcBorders>
            <w:shd w:val="clear" w:color="auto" w:fill="auto"/>
            <w:noWrap/>
            <w:vAlign w:val="center"/>
            <w:hideMark/>
          </w:tcPr>
          <w:p w14:paraId="2C02084A"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66,7%</w:t>
            </w:r>
          </w:p>
        </w:tc>
      </w:tr>
      <w:tr w:rsidR="00457198" w:rsidRPr="00457198" w14:paraId="4FCE96FF" w14:textId="77777777" w:rsidTr="00087F48">
        <w:trPr>
          <w:trHeight w:val="258"/>
        </w:trPr>
        <w:tc>
          <w:tcPr>
            <w:tcW w:w="1118" w:type="pct"/>
            <w:tcBorders>
              <w:top w:val="nil"/>
              <w:left w:val="nil"/>
              <w:bottom w:val="nil"/>
              <w:right w:val="nil"/>
            </w:tcBorders>
            <w:shd w:val="clear" w:color="auto" w:fill="auto"/>
            <w:noWrap/>
            <w:vAlign w:val="center"/>
            <w:hideMark/>
          </w:tcPr>
          <w:p w14:paraId="042677F7" w14:textId="77777777" w:rsidR="003E0246" w:rsidRPr="00087F48" w:rsidRDefault="003E0246" w:rsidP="003E0246">
            <w:pPr>
              <w:tabs>
                <w:tab w:val="clear" w:pos="851"/>
              </w:tabs>
              <w:spacing w:before="0" w:after="0" w:line="240" w:lineRule="auto"/>
              <w:jc w:val="left"/>
              <w:rPr>
                <w:rFonts w:ascii="Arial" w:hAnsi="Arial" w:cs="Arial"/>
                <w:color w:val="000000"/>
                <w:sz w:val="14"/>
                <w:szCs w:val="16"/>
                <w:lang w:eastAsia="pt-BR"/>
              </w:rPr>
            </w:pPr>
            <w:r w:rsidRPr="00087F48">
              <w:rPr>
                <w:rFonts w:ascii="Arial" w:hAnsi="Arial" w:cs="Arial"/>
                <w:color w:val="000000"/>
                <w:sz w:val="14"/>
                <w:szCs w:val="16"/>
                <w:lang w:eastAsia="pt-BR"/>
              </w:rPr>
              <w:t>Patrimônio Líquido</w:t>
            </w:r>
          </w:p>
        </w:tc>
        <w:tc>
          <w:tcPr>
            <w:tcW w:w="449" w:type="pct"/>
            <w:tcBorders>
              <w:top w:val="nil"/>
              <w:left w:val="nil"/>
              <w:bottom w:val="nil"/>
              <w:right w:val="nil"/>
            </w:tcBorders>
            <w:shd w:val="clear" w:color="auto" w:fill="auto"/>
            <w:noWrap/>
            <w:vAlign w:val="center"/>
            <w:hideMark/>
          </w:tcPr>
          <w:p w14:paraId="52D4DEF3"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1.425.651</w:t>
            </w:r>
          </w:p>
        </w:tc>
        <w:tc>
          <w:tcPr>
            <w:tcW w:w="407" w:type="pct"/>
            <w:tcBorders>
              <w:top w:val="nil"/>
              <w:left w:val="nil"/>
              <w:bottom w:val="nil"/>
              <w:right w:val="nil"/>
            </w:tcBorders>
            <w:shd w:val="clear" w:color="auto" w:fill="auto"/>
            <w:noWrap/>
            <w:vAlign w:val="center"/>
            <w:hideMark/>
          </w:tcPr>
          <w:p w14:paraId="4B79EE2A"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35,60%</w:t>
            </w:r>
          </w:p>
        </w:tc>
        <w:tc>
          <w:tcPr>
            <w:tcW w:w="341" w:type="pct"/>
            <w:tcBorders>
              <w:top w:val="nil"/>
              <w:left w:val="nil"/>
              <w:bottom w:val="nil"/>
              <w:right w:val="nil"/>
            </w:tcBorders>
            <w:shd w:val="clear" w:color="auto" w:fill="auto"/>
            <w:noWrap/>
            <w:vAlign w:val="center"/>
            <w:hideMark/>
          </w:tcPr>
          <w:p w14:paraId="1FB28B97"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-8,3%</w:t>
            </w:r>
          </w:p>
        </w:tc>
        <w:tc>
          <w:tcPr>
            <w:tcW w:w="341" w:type="pct"/>
            <w:tcBorders>
              <w:top w:val="nil"/>
              <w:left w:val="nil"/>
              <w:bottom w:val="nil"/>
              <w:right w:val="single" w:sz="8" w:space="0" w:color="8DB4E2"/>
            </w:tcBorders>
            <w:shd w:val="clear" w:color="auto" w:fill="auto"/>
            <w:noWrap/>
            <w:vAlign w:val="center"/>
            <w:hideMark/>
          </w:tcPr>
          <w:p w14:paraId="1FA1DA87"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4,6%</w:t>
            </w:r>
          </w:p>
        </w:tc>
        <w:tc>
          <w:tcPr>
            <w:tcW w:w="449" w:type="pct"/>
            <w:tcBorders>
              <w:top w:val="nil"/>
              <w:left w:val="nil"/>
              <w:bottom w:val="nil"/>
              <w:right w:val="nil"/>
            </w:tcBorders>
            <w:shd w:val="clear" w:color="auto" w:fill="auto"/>
            <w:noWrap/>
            <w:vAlign w:val="center"/>
            <w:hideMark/>
          </w:tcPr>
          <w:p w14:paraId="1F492923"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1.555.103</w:t>
            </w:r>
          </w:p>
        </w:tc>
        <w:tc>
          <w:tcPr>
            <w:tcW w:w="407" w:type="pct"/>
            <w:tcBorders>
              <w:top w:val="nil"/>
              <w:left w:val="nil"/>
              <w:bottom w:val="nil"/>
              <w:right w:val="nil"/>
            </w:tcBorders>
            <w:shd w:val="clear" w:color="auto" w:fill="auto"/>
            <w:noWrap/>
            <w:vAlign w:val="center"/>
            <w:hideMark/>
          </w:tcPr>
          <w:p w14:paraId="54BBF11D"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38,50%</w:t>
            </w:r>
          </w:p>
        </w:tc>
        <w:tc>
          <w:tcPr>
            <w:tcW w:w="341" w:type="pct"/>
            <w:tcBorders>
              <w:top w:val="nil"/>
              <w:left w:val="nil"/>
              <w:bottom w:val="nil"/>
              <w:right w:val="nil"/>
            </w:tcBorders>
            <w:shd w:val="clear" w:color="auto" w:fill="auto"/>
            <w:noWrap/>
            <w:vAlign w:val="center"/>
            <w:hideMark/>
          </w:tcPr>
          <w:p w14:paraId="491DD7BA"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14,1%</w:t>
            </w:r>
          </w:p>
        </w:tc>
        <w:tc>
          <w:tcPr>
            <w:tcW w:w="341" w:type="pct"/>
            <w:tcBorders>
              <w:top w:val="nil"/>
              <w:left w:val="nil"/>
              <w:bottom w:val="nil"/>
              <w:right w:val="single" w:sz="8" w:space="0" w:color="8DB4E2"/>
            </w:tcBorders>
            <w:shd w:val="clear" w:color="auto" w:fill="auto"/>
            <w:noWrap/>
            <w:vAlign w:val="center"/>
            <w:hideMark/>
          </w:tcPr>
          <w:p w14:paraId="18E9CD85"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2,2%</w:t>
            </w:r>
          </w:p>
        </w:tc>
        <w:tc>
          <w:tcPr>
            <w:tcW w:w="449" w:type="pct"/>
            <w:tcBorders>
              <w:top w:val="nil"/>
              <w:left w:val="nil"/>
              <w:bottom w:val="nil"/>
              <w:right w:val="nil"/>
            </w:tcBorders>
            <w:shd w:val="clear" w:color="auto" w:fill="auto"/>
            <w:noWrap/>
            <w:vAlign w:val="center"/>
            <w:hideMark/>
          </w:tcPr>
          <w:p w14:paraId="5C7E1DB7"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1.363.210</w:t>
            </w:r>
          </w:p>
        </w:tc>
        <w:tc>
          <w:tcPr>
            <w:tcW w:w="360" w:type="pct"/>
            <w:tcBorders>
              <w:top w:val="nil"/>
              <w:left w:val="nil"/>
              <w:bottom w:val="nil"/>
              <w:right w:val="nil"/>
            </w:tcBorders>
            <w:shd w:val="clear" w:color="auto" w:fill="auto"/>
            <w:noWrap/>
            <w:vAlign w:val="center"/>
            <w:hideMark/>
          </w:tcPr>
          <w:p w14:paraId="6D46CA5F" w14:textId="77777777" w:rsidR="003E0246" w:rsidRPr="00087F48" w:rsidRDefault="003E0246" w:rsidP="003E0246">
            <w:pPr>
              <w:tabs>
                <w:tab w:val="clear" w:pos="851"/>
              </w:tabs>
              <w:spacing w:before="0" w:after="0" w:line="240" w:lineRule="auto"/>
              <w:jc w:val="right"/>
              <w:rPr>
                <w:rFonts w:ascii="Arial" w:hAnsi="Arial" w:cs="Arial"/>
                <w:color w:val="000000"/>
                <w:sz w:val="14"/>
                <w:szCs w:val="16"/>
                <w:lang w:eastAsia="pt-BR"/>
              </w:rPr>
            </w:pPr>
            <w:r w:rsidRPr="00087F48">
              <w:rPr>
                <w:rFonts w:ascii="Arial" w:hAnsi="Arial" w:cs="Arial"/>
                <w:color w:val="000000"/>
                <w:sz w:val="14"/>
                <w:szCs w:val="16"/>
                <w:lang w:eastAsia="pt-BR"/>
              </w:rPr>
              <w:t>33,3%</w:t>
            </w:r>
          </w:p>
        </w:tc>
      </w:tr>
      <w:tr w:rsidR="00457198" w:rsidRPr="00457198" w14:paraId="69E30310" w14:textId="77777777" w:rsidTr="00087F48">
        <w:trPr>
          <w:trHeight w:val="258"/>
        </w:trPr>
        <w:tc>
          <w:tcPr>
            <w:tcW w:w="1118" w:type="pct"/>
            <w:tcBorders>
              <w:top w:val="single" w:sz="8" w:space="0" w:color="8DB4E2"/>
              <w:left w:val="nil"/>
              <w:bottom w:val="single" w:sz="8" w:space="0" w:color="8DB4E2"/>
              <w:right w:val="nil"/>
            </w:tcBorders>
            <w:shd w:val="clear" w:color="auto" w:fill="auto"/>
            <w:noWrap/>
            <w:vAlign w:val="center"/>
            <w:hideMark/>
          </w:tcPr>
          <w:p w14:paraId="43839179" w14:textId="77777777" w:rsidR="003E0246" w:rsidRPr="00087F48" w:rsidRDefault="003E0246" w:rsidP="003E0246">
            <w:pPr>
              <w:tabs>
                <w:tab w:val="clear" w:pos="851"/>
              </w:tabs>
              <w:spacing w:before="0" w:after="0" w:line="240" w:lineRule="auto"/>
              <w:jc w:val="left"/>
              <w:rPr>
                <w:rFonts w:ascii="Arial" w:hAnsi="Arial" w:cs="Arial"/>
                <w:b/>
                <w:bCs/>
                <w:color w:val="000000"/>
                <w:sz w:val="14"/>
                <w:szCs w:val="16"/>
                <w:lang w:eastAsia="pt-BR"/>
              </w:rPr>
            </w:pPr>
            <w:r w:rsidRPr="00087F48">
              <w:rPr>
                <w:rFonts w:ascii="Arial" w:hAnsi="Arial" w:cs="Arial"/>
                <w:b/>
                <w:bCs/>
                <w:color w:val="000000"/>
                <w:sz w:val="14"/>
                <w:szCs w:val="16"/>
                <w:lang w:eastAsia="pt-BR"/>
              </w:rPr>
              <w:t>Passivo Total</w:t>
            </w:r>
          </w:p>
        </w:tc>
        <w:tc>
          <w:tcPr>
            <w:tcW w:w="449" w:type="pct"/>
            <w:tcBorders>
              <w:top w:val="single" w:sz="8" w:space="0" w:color="8DB4E2"/>
              <w:left w:val="nil"/>
              <w:bottom w:val="single" w:sz="8" w:space="0" w:color="8DB4E2"/>
              <w:right w:val="nil"/>
            </w:tcBorders>
            <w:shd w:val="clear" w:color="auto" w:fill="auto"/>
            <w:noWrap/>
            <w:vAlign w:val="center"/>
            <w:hideMark/>
          </w:tcPr>
          <w:p w14:paraId="2970AAD2"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4.003.587</w:t>
            </w:r>
          </w:p>
        </w:tc>
        <w:tc>
          <w:tcPr>
            <w:tcW w:w="407" w:type="pct"/>
            <w:tcBorders>
              <w:top w:val="single" w:sz="8" w:space="0" w:color="8DB4E2"/>
              <w:left w:val="nil"/>
              <w:bottom w:val="single" w:sz="8" w:space="0" w:color="8DB4E2"/>
              <w:right w:val="nil"/>
            </w:tcBorders>
            <w:shd w:val="clear" w:color="auto" w:fill="auto"/>
            <w:noWrap/>
            <w:vAlign w:val="center"/>
            <w:hideMark/>
          </w:tcPr>
          <w:p w14:paraId="6256084A"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100,00%</w:t>
            </w:r>
          </w:p>
        </w:tc>
        <w:tc>
          <w:tcPr>
            <w:tcW w:w="341" w:type="pct"/>
            <w:tcBorders>
              <w:top w:val="single" w:sz="8" w:space="0" w:color="8DB4E2"/>
              <w:left w:val="nil"/>
              <w:bottom w:val="single" w:sz="8" w:space="0" w:color="8DB4E2"/>
              <w:right w:val="nil"/>
            </w:tcBorders>
            <w:shd w:val="clear" w:color="auto" w:fill="auto"/>
            <w:noWrap/>
            <w:vAlign w:val="center"/>
            <w:hideMark/>
          </w:tcPr>
          <w:p w14:paraId="1988DC19"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-0,8%</w:t>
            </w:r>
          </w:p>
        </w:tc>
        <w:tc>
          <w:tcPr>
            <w:tcW w:w="341" w:type="pct"/>
            <w:tcBorders>
              <w:top w:val="single" w:sz="8" w:space="0" w:color="8DB4E2"/>
              <w:left w:val="nil"/>
              <w:bottom w:val="single" w:sz="8" w:space="0" w:color="8DB4E2"/>
              <w:right w:val="single" w:sz="8" w:space="0" w:color="8DB4E2"/>
            </w:tcBorders>
            <w:shd w:val="clear" w:color="auto" w:fill="auto"/>
            <w:noWrap/>
            <w:vAlign w:val="center"/>
            <w:hideMark/>
          </w:tcPr>
          <w:p w14:paraId="32705D0F"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-2,3%</w:t>
            </w:r>
          </w:p>
        </w:tc>
        <w:tc>
          <w:tcPr>
            <w:tcW w:w="449" w:type="pct"/>
            <w:tcBorders>
              <w:top w:val="single" w:sz="8" w:space="0" w:color="8DB4E2"/>
              <w:left w:val="nil"/>
              <w:bottom w:val="single" w:sz="8" w:space="0" w:color="8DB4E2"/>
              <w:right w:val="nil"/>
            </w:tcBorders>
            <w:shd w:val="clear" w:color="auto" w:fill="auto"/>
            <w:noWrap/>
            <w:vAlign w:val="center"/>
            <w:hideMark/>
          </w:tcPr>
          <w:p w14:paraId="1BAEE836"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4.035.411</w:t>
            </w:r>
          </w:p>
        </w:tc>
        <w:tc>
          <w:tcPr>
            <w:tcW w:w="407" w:type="pct"/>
            <w:tcBorders>
              <w:top w:val="single" w:sz="8" w:space="0" w:color="8DB4E2"/>
              <w:left w:val="nil"/>
              <w:bottom w:val="single" w:sz="8" w:space="0" w:color="8DB4E2"/>
              <w:right w:val="nil"/>
            </w:tcBorders>
            <w:shd w:val="clear" w:color="auto" w:fill="auto"/>
            <w:noWrap/>
            <w:vAlign w:val="center"/>
            <w:hideMark/>
          </w:tcPr>
          <w:p w14:paraId="200F1857"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100,00%</w:t>
            </w:r>
          </w:p>
        </w:tc>
        <w:tc>
          <w:tcPr>
            <w:tcW w:w="341" w:type="pct"/>
            <w:tcBorders>
              <w:top w:val="single" w:sz="8" w:space="0" w:color="8DB4E2"/>
              <w:left w:val="nil"/>
              <w:bottom w:val="single" w:sz="8" w:space="0" w:color="8DB4E2"/>
              <w:right w:val="nil"/>
            </w:tcBorders>
            <w:shd w:val="clear" w:color="auto" w:fill="auto"/>
            <w:noWrap/>
            <w:vAlign w:val="center"/>
            <w:hideMark/>
          </w:tcPr>
          <w:p w14:paraId="7E258856"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-1,6%</w:t>
            </w:r>
          </w:p>
        </w:tc>
        <w:tc>
          <w:tcPr>
            <w:tcW w:w="341" w:type="pct"/>
            <w:tcBorders>
              <w:top w:val="single" w:sz="8" w:space="0" w:color="8DB4E2"/>
              <w:left w:val="nil"/>
              <w:bottom w:val="single" w:sz="8" w:space="0" w:color="8DB4E2"/>
              <w:right w:val="single" w:sz="8" w:space="0" w:color="8DB4E2"/>
            </w:tcBorders>
            <w:shd w:val="clear" w:color="auto" w:fill="auto"/>
            <w:noWrap/>
            <w:vAlign w:val="center"/>
            <w:hideMark/>
          </w:tcPr>
          <w:p w14:paraId="00EC3711"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-4,9%</w:t>
            </w:r>
          </w:p>
        </w:tc>
        <w:tc>
          <w:tcPr>
            <w:tcW w:w="449" w:type="pct"/>
            <w:tcBorders>
              <w:top w:val="single" w:sz="8" w:space="0" w:color="8DB4E2"/>
              <w:left w:val="nil"/>
              <w:bottom w:val="single" w:sz="8" w:space="0" w:color="8DB4E2"/>
              <w:right w:val="nil"/>
            </w:tcBorders>
            <w:shd w:val="clear" w:color="auto" w:fill="auto"/>
            <w:noWrap/>
            <w:vAlign w:val="center"/>
            <w:hideMark/>
          </w:tcPr>
          <w:p w14:paraId="01094957"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4.099.054</w:t>
            </w:r>
          </w:p>
        </w:tc>
        <w:tc>
          <w:tcPr>
            <w:tcW w:w="360" w:type="pct"/>
            <w:tcBorders>
              <w:top w:val="single" w:sz="8" w:space="0" w:color="8DB4E2"/>
              <w:left w:val="nil"/>
              <w:bottom w:val="single" w:sz="8" w:space="0" w:color="8DB4E2"/>
              <w:right w:val="nil"/>
            </w:tcBorders>
            <w:shd w:val="clear" w:color="auto" w:fill="auto"/>
            <w:noWrap/>
            <w:vAlign w:val="center"/>
            <w:hideMark/>
          </w:tcPr>
          <w:p w14:paraId="5C4F50FE" w14:textId="77777777" w:rsidR="003E0246" w:rsidRPr="00087F48" w:rsidRDefault="003E0246" w:rsidP="003E0246">
            <w:pPr>
              <w:tabs>
                <w:tab w:val="clear" w:pos="851"/>
              </w:tabs>
              <w:spacing w:before="0" w:after="0" w:line="240" w:lineRule="auto"/>
              <w:jc w:val="right"/>
              <w:rPr>
                <w:rFonts w:ascii="Arial" w:hAnsi="Arial" w:cs="Arial"/>
                <w:b/>
                <w:bCs/>
                <w:color w:val="000000"/>
                <w:sz w:val="14"/>
                <w:szCs w:val="16"/>
                <w:lang w:eastAsia="pt-BR"/>
              </w:rPr>
            </w:pPr>
            <w:r w:rsidRPr="00087F48">
              <w:rPr>
                <w:rFonts w:ascii="Arial" w:hAnsi="Arial" w:cs="Arial"/>
                <w:b/>
                <w:bCs/>
                <w:color w:val="000000"/>
                <w:sz w:val="14"/>
                <w:szCs w:val="16"/>
                <w:lang w:eastAsia="pt-BR"/>
              </w:rPr>
              <w:t>100,0%</w:t>
            </w:r>
          </w:p>
        </w:tc>
      </w:tr>
    </w:tbl>
    <w:p w14:paraId="2351A101" w14:textId="77777777" w:rsidR="003E0246" w:rsidRDefault="003E0246" w:rsidP="00087F48">
      <w:pPr>
        <w:spacing w:line="240" w:lineRule="auto"/>
        <w:rPr>
          <w:rFonts w:eastAsia="Arial"/>
          <w:sz w:val="22"/>
          <w:highlight w:val="red"/>
        </w:rPr>
      </w:pPr>
    </w:p>
    <w:tbl>
      <w:tblPr>
        <w:tblW w:w="5000" w:type="pct"/>
        <w:tblCellMar>
          <w:left w:w="70" w:type="dxa"/>
          <w:right w:w="70" w:type="dxa"/>
        </w:tblCellMar>
        <w:tblLook w:val="04A0" w:firstRow="1" w:lastRow="0" w:firstColumn="1" w:lastColumn="0" w:noHBand="0" w:noVBand="1"/>
      </w:tblPr>
      <w:tblGrid>
        <w:gridCol w:w="3746"/>
        <w:gridCol w:w="1305"/>
        <w:gridCol w:w="1341"/>
        <w:gridCol w:w="1341"/>
        <w:gridCol w:w="1339"/>
      </w:tblGrid>
      <w:tr w:rsidR="003E0246" w:rsidRPr="003E0246" w14:paraId="66C74E94" w14:textId="77777777" w:rsidTr="003E0246">
        <w:trPr>
          <w:trHeight w:val="238"/>
        </w:trPr>
        <w:tc>
          <w:tcPr>
            <w:tcW w:w="2065" w:type="pct"/>
            <w:tcBorders>
              <w:top w:val="single" w:sz="8" w:space="0" w:color="4472C4"/>
              <w:left w:val="nil"/>
              <w:bottom w:val="single" w:sz="8" w:space="0" w:color="4472C4"/>
              <w:right w:val="nil"/>
            </w:tcBorders>
            <w:shd w:val="clear" w:color="auto" w:fill="auto"/>
            <w:noWrap/>
            <w:vAlign w:val="center"/>
            <w:hideMark/>
          </w:tcPr>
          <w:p w14:paraId="2E683506" w14:textId="77777777" w:rsidR="003E0246" w:rsidRPr="003E0246" w:rsidRDefault="003E0246" w:rsidP="003E0246">
            <w:pPr>
              <w:tabs>
                <w:tab w:val="clear" w:pos="851"/>
              </w:tabs>
              <w:spacing w:before="0" w:after="0" w:line="240" w:lineRule="auto"/>
              <w:jc w:val="left"/>
              <w:rPr>
                <w:rFonts w:ascii="Arial" w:hAnsi="Arial" w:cs="Arial"/>
                <w:b/>
                <w:bCs/>
                <w:color w:val="2F75B5"/>
                <w:sz w:val="18"/>
                <w:szCs w:val="18"/>
                <w:lang w:eastAsia="pt-BR"/>
              </w:rPr>
            </w:pPr>
            <w:r w:rsidRPr="003E0246">
              <w:rPr>
                <w:rFonts w:ascii="Arial" w:hAnsi="Arial" w:cs="Arial"/>
                <w:b/>
                <w:bCs/>
                <w:color w:val="2F75B5"/>
                <w:sz w:val="18"/>
                <w:szCs w:val="18"/>
                <w:lang w:eastAsia="pt-BR"/>
              </w:rPr>
              <w:t>Indicadores Financeiros</w:t>
            </w:r>
          </w:p>
        </w:tc>
        <w:tc>
          <w:tcPr>
            <w:tcW w:w="719" w:type="pct"/>
            <w:tcBorders>
              <w:top w:val="single" w:sz="8" w:space="0" w:color="4472C4"/>
              <w:left w:val="nil"/>
              <w:bottom w:val="single" w:sz="8" w:space="0" w:color="4472C4"/>
              <w:right w:val="nil"/>
            </w:tcBorders>
            <w:shd w:val="clear" w:color="auto" w:fill="auto"/>
            <w:vAlign w:val="center"/>
            <w:hideMark/>
          </w:tcPr>
          <w:p w14:paraId="6EC6E7D7" w14:textId="77777777" w:rsidR="003E0246" w:rsidRPr="003E0246" w:rsidRDefault="003E0246" w:rsidP="003E0246">
            <w:pPr>
              <w:tabs>
                <w:tab w:val="clear" w:pos="851"/>
              </w:tabs>
              <w:spacing w:before="0" w:after="0" w:line="240" w:lineRule="auto"/>
              <w:jc w:val="center"/>
              <w:rPr>
                <w:rFonts w:ascii="Arial" w:hAnsi="Arial" w:cs="Arial"/>
                <w:b/>
                <w:color w:val="2F75B5"/>
                <w:sz w:val="18"/>
                <w:szCs w:val="18"/>
                <w:lang w:eastAsia="pt-BR"/>
              </w:rPr>
            </w:pPr>
            <w:r w:rsidRPr="003E0246">
              <w:rPr>
                <w:rFonts w:ascii="Arial" w:hAnsi="Arial" w:cs="Arial"/>
                <w:b/>
                <w:color w:val="2F75B5"/>
                <w:sz w:val="18"/>
                <w:szCs w:val="18"/>
                <w:lang w:eastAsia="pt-BR"/>
              </w:rPr>
              <w:t>Medida</w:t>
            </w:r>
          </w:p>
        </w:tc>
        <w:tc>
          <w:tcPr>
            <w:tcW w:w="739" w:type="pct"/>
            <w:tcBorders>
              <w:top w:val="single" w:sz="8" w:space="0" w:color="4472C4"/>
              <w:left w:val="nil"/>
              <w:bottom w:val="single" w:sz="8" w:space="0" w:color="4472C4"/>
              <w:right w:val="nil"/>
            </w:tcBorders>
            <w:shd w:val="clear" w:color="auto" w:fill="auto"/>
            <w:noWrap/>
            <w:vAlign w:val="center"/>
            <w:hideMark/>
          </w:tcPr>
          <w:p w14:paraId="5FB919F1" w14:textId="77777777" w:rsidR="003E0246" w:rsidRPr="003E0246" w:rsidRDefault="003E0246" w:rsidP="003E0246">
            <w:pPr>
              <w:tabs>
                <w:tab w:val="clear" w:pos="851"/>
              </w:tabs>
              <w:spacing w:before="0" w:after="0" w:line="240" w:lineRule="auto"/>
              <w:jc w:val="right"/>
              <w:rPr>
                <w:rFonts w:ascii="Arial" w:hAnsi="Arial" w:cs="Arial"/>
                <w:b/>
                <w:bCs/>
                <w:color w:val="2F75B5"/>
                <w:sz w:val="18"/>
                <w:szCs w:val="18"/>
                <w:lang w:eastAsia="pt-BR"/>
              </w:rPr>
            </w:pPr>
            <w:r w:rsidRPr="003E0246">
              <w:rPr>
                <w:rFonts w:ascii="Arial" w:hAnsi="Arial" w:cs="Arial"/>
                <w:b/>
                <w:bCs/>
                <w:color w:val="2F75B5"/>
                <w:sz w:val="18"/>
                <w:szCs w:val="18"/>
                <w:lang w:eastAsia="pt-BR"/>
              </w:rPr>
              <w:t>2023</w:t>
            </w:r>
          </w:p>
        </w:tc>
        <w:tc>
          <w:tcPr>
            <w:tcW w:w="739" w:type="pct"/>
            <w:tcBorders>
              <w:top w:val="single" w:sz="8" w:space="0" w:color="4472C4"/>
              <w:left w:val="nil"/>
              <w:bottom w:val="single" w:sz="8" w:space="0" w:color="4472C4"/>
              <w:right w:val="nil"/>
            </w:tcBorders>
            <w:shd w:val="clear" w:color="auto" w:fill="auto"/>
            <w:noWrap/>
            <w:vAlign w:val="center"/>
            <w:hideMark/>
          </w:tcPr>
          <w:p w14:paraId="5B250FAF" w14:textId="77777777" w:rsidR="003E0246" w:rsidRPr="003E0246" w:rsidRDefault="003E0246" w:rsidP="003E0246">
            <w:pPr>
              <w:tabs>
                <w:tab w:val="clear" w:pos="851"/>
              </w:tabs>
              <w:spacing w:before="0" w:after="0" w:line="240" w:lineRule="auto"/>
              <w:jc w:val="right"/>
              <w:rPr>
                <w:rFonts w:ascii="Arial" w:hAnsi="Arial" w:cs="Arial"/>
                <w:b/>
                <w:bCs/>
                <w:color w:val="2F75B5"/>
                <w:sz w:val="18"/>
                <w:szCs w:val="18"/>
                <w:lang w:eastAsia="pt-BR"/>
              </w:rPr>
            </w:pPr>
            <w:r w:rsidRPr="003E0246">
              <w:rPr>
                <w:rFonts w:ascii="Arial" w:hAnsi="Arial" w:cs="Arial"/>
                <w:b/>
                <w:bCs/>
                <w:color w:val="2F75B5"/>
                <w:sz w:val="18"/>
                <w:szCs w:val="18"/>
                <w:lang w:eastAsia="pt-BR"/>
              </w:rPr>
              <w:t>2022</w:t>
            </w:r>
          </w:p>
        </w:tc>
        <w:tc>
          <w:tcPr>
            <w:tcW w:w="738" w:type="pct"/>
            <w:tcBorders>
              <w:top w:val="single" w:sz="8" w:space="0" w:color="4472C4"/>
              <w:left w:val="nil"/>
              <w:bottom w:val="single" w:sz="8" w:space="0" w:color="4472C4"/>
              <w:right w:val="nil"/>
            </w:tcBorders>
            <w:shd w:val="clear" w:color="auto" w:fill="auto"/>
            <w:noWrap/>
            <w:vAlign w:val="center"/>
            <w:hideMark/>
          </w:tcPr>
          <w:p w14:paraId="37D7A44F" w14:textId="77777777" w:rsidR="003E0246" w:rsidRPr="003E0246" w:rsidRDefault="003E0246" w:rsidP="003E0246">
            <w:pPr>
              <w:tabs>
                <w:tab w:val="clear" w:pos="851"/>
              </w:tabs>
              <w:spacing w:before="0" w:after="0" w:line="240" w:lineRule="auto"/>
              <w:jc w:val="right"/>
              <w:rPr>
                <w:rFonts w:ascii="Arial" w:hAnsi="Arial" w:cs="Arial"/>
                <w:b/>
                <w:bCs/>
                <w:color w:val="2F75B5"/>
                <w:sz w:val="18"/>
                <w:szCs w:val="18"/>
                <w:lang w:eastAsia="pt-BR"/>
              </w:rPr>
            </w:pPr>
            <w:r w:rsidRPr="003E0246">
              <w:rPr>
                <w:rFonts w:ascii="Arial" w:hAnsi="Arial" w:cs="Arial"/>
                <w:b/>
                <w:bCs/>
                <w:color w:val="2F75B5"/>
                <w:sz w:val="18"/>
                <w:szCs w:val="18"/>
                <w:lang w:eastAsia="pt-BR"/>
              </w:rPr>
              <w:t>2021</w:t>
            </w:r>
          </w:p>
        </w:tc>
      </w:tr>
      <w:tr w:rsidR="003E0246" w:rsidRPr="003E0246" w14:paraId="1D876E6C" w14:textId="77777777" w:rsidTr="003E0246">
        <w:trPr>
          <w:trHeight w:val="238"/>
        </w:trPr>
        <w:tc>
          <w:tcPr>
            <w:tcW w:w="2065" w:type="pct"/>
            <w:tcBorders>
              <w:top w:val="nil"/>
              <w:left w:val="nil"/>
              <w:bottom w:val="nil"/>
              <w:right w:val="nil"/>
            </w:tcBorders>
            <w:shd w:val="clear" w:color="auto" w:fill="auto"/>
            <w:noWrap/>
            <w:vAlign w:val="center"/>
            <w:hideMark/>
          </w:tcPr>
          <w:p w14:paraId="071E627B" w14:textId="77777777" w:rsidR="003E0246" w:rsidRPr="003E0246" w:rsidRDefault="003E0246" w:rsidP="003E0246">
            <w:pPr>
              <w:tabs>
                <w:tab w:val="clear" w:pos="851"/>
              </w:tabs>
              <w:spacing w:before="0" w:after="0" w:line="240" w:lineRule="auto"/>
              <w:jc w:val="left"/>
              <w:rPr>
                <w:rFonts w:ascii="Arial" w:hAnsi="Arial" w:cs="Arial"/>
                <w:color w:val="000000"/>
                <w:sz w:val="18"/>
                <w:szCs w:val="18"/>
                <w:lang w:eastAsia="pt-BR"/>
              </w:rPr>
            </w:pPr>
            <w:r w:rsidRPr="003E0246">
              <w:rPr>
                <w:rFonts w:ascii="Arial" w:hAnsi="Arial" w:cs="Arial"/>
                <w:color w:val="000000"/>
                <w:sz w:val="18"/>
                <w:szCs w:val="18"/>
                <w:lang w:eastAsia="pt-BR"/>
              </w:rPr>
              <w:t>Liquidez Corrente</w:t>
            </w:r>
          </w:p>
        </w:tc>
        <w:tc>
          <w:tcPr>
            <w:tcW w:w="719" w:type="pct"/>
            <w:tcBorders>
              <w:top w:val="nil"/>
              <w:left w:val="nil"/>
              <w:bottom w:val="nil"/>
              <w:right w:val="nil"/>
            </w:tcBorders>
            <w:shd w:val="clear" w:color="auto" w:fill="auto"/>
            <w:vAlign w:val="center"/>
            <w:hideMark/>
          </w:tcPr>
          <w:p w14:paraId="33B4AC93"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Índice</w:t>
            </w:r>
          </w:p>
        </w:tc>
        <w:tc>
          <w:tcPr>
            <w:tcW w:w="739" w:type="pct"/>
            <w:tcBorders>
              <w:top w:val="nil"/>
              <w:left w:val="nil"/>
              <w:bottom w:val="nil"/>
              <w:right w:val="nil"/>
            </w:tcBorders>
            <w:shd w:val="clear" w:color="auto" w:fill="auto"/>
            <w:noWrap/>
            <w:vAlign w:val="center"/>
            <w:hideMark/>
          </w:tcPr>
          <w:p w14:paraId="354D5D78"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7,31</w:t>
            </w:r>
          </w:p>
        </w:tc>
        <w:tc>
          <w:tcPr>
            <w:tcW w:w="739" w:type="pct"/>
            <w:tcBorders>
              <w:top w:val="nil"/>
              <w:left w:val="nil"/>
              <w:bottom w:val="nil"/>
              <w:right w:val="nil"/>
            </w:tcBorders>
            <w:shd w:val="clear" w:color="auto" w:fill="auto"/>
            <w:noWrap/>
            <w:vAlign w:val="center"/>
            <w:hideMark/>
          </w:tcPr>
          <w:p w14:paraId="740784CE"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7,14</w:t>
            </w:r>
          </w:p>
        </w:tc>
        <w:tc>
          <w:tcPr>
            <w:tcW w:w="738" w:type="pct"/>
            <w:tcBorders>
              <w:top w:val="nil"/>
              <w:left w:val="nil"/>
              <w:bottom w:val="nil"/>
              <w:right w:val="nil"/>
            </w:tcBorders>
            <w:shd w:val="clear" w:color="auto" w:fill="auto"/>
            <w:noWrap/>
            <w:vAlign w:val="center"/>
            <w:hideMark/>
          </w:tcPr>
          <w:p w14:paraId="5F7EC639"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8,42</w:t>
            </w:r>
          </w:p>
        </w:tc>
      </w:tr>
      <w:tr w:rsidR="003E0246" w:rsidRPr="003E0246" w14:paraId="3F91CB78" w14:textId="77777777" w:rsidTr="003E0246">
        <w:trPr>
          <w:trHeight w:val="238"/>
        </w:trPr>
        <w:tc>
          <w:tcPr>
            <w:tcW w:w="2065" w:type="pct"/>
            <w:tcBorders>
              <w:top w:val="nil"/>
              <w:left w:val="nil"/>
              <w:bottom w:val="nil"/>
              <w:right w:val="nil"/>
            </w:tcBorders>
            <w:shd w:val="clear" w:color="auto" w:fill="auto"/>
            <w:noWrap/>
            <w:vAlign w:val="center"/>
            <w:hideMark/>
          </w:tcPr>
          <w:p w14:paraId="6FA3E66B" w14:textId="77777777" w:rsidR="003E0246" w:rsidRPr="003E0246" w:rsidRDefault="003E0246" w:rsidP="003E0246">
            <w:pPr>
              <w:tabs>
                <w:tab w:val="clear" w:pos="851"/>
              </w:tabs>
              <w:spacing w:before="0" w:after="0" w:line="240" w:lineRule="auto"/>
              <w:jc w:val="left"/>
              <w:rPr>
                <w:rFonts w:ascii="Arial" w:hAnsi="Arial" w:cs="Arial"/>
                <w:color w:val="000000"/>
                <w:sz w:val="18"/>
                <w:szCs w:val="18"/>
                <w:lang w:eastAsia="pt-BR"/>
              </w:rPr>
            </w:pPr>
            <w:r w:rsidRPr="003E0246">
              <w:rPr>
                <w:rFonts w:ascii="Arial" w:hAnsi="Arial" w:cs="Arial"/>
                <w:color w:val="000000"/>
                <w:sz w:val="18"/>
                <w:szCs w:val="18"/>
                <w:lang w:eastAsia="pt-BR"/>
              </w:rPr>
              <w:t xml:space="preserve">Liquidez Geral </w:t>
            </w:r>
          </w:p>
        </w:tc>
        <w:tc>
          <w:tcPr>
            <w:tcW w:w="719" w:type="pct"/>
            <w:tcBorders>
              <w:top w:val="nil"/>
              <w:left w:val="nil"/>
              <w:bottom w:val="nil"/>
              <w:right w:val="nil"/>
            </w:tcBorders>
            <w:shd w:val="clear" w:color="auto" w:fill="auto"/>
            <w:vAlign w:val="center"/>
            <w:hideMark/>
          </w:tcPr>
          <w:p w14:paraId="7DCB981E"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Índice</w:t>
            </w:r>
          </w:p>
        </w:tc>
        <w:tc>
          <w:tcPr>
            <w:tcW w:w="739" w:type="pct"/>
            <w:tcBorders>
              <w:top w:val="nil"/>
              <w:left w:val="nil"/>
              <w:bottom w:val="nil"/>
              <w:right w:val="nil"/>
            </w:tcBorders>
            <w:shd w:val="clear" w:color="auto" w:fill="auto"/>
            <w:noWrap/>
            <w:vAlign w:val="center"/>
            <w:hideMark/>
          </w:tcPr>
          <w:p w14:paraId="0697C3D8"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3,84</w:t>
            </w:r>
          </w:p>
        </w:tc>
        <w:tc>
          <w:tcPr>
            <w:tcW w:w="739" w:type="pct"/>
            <w:tcBorders>
              <w:top w:val="nil"/>
              <w:left w:val="nil"/>
              <w:bottom w:val="nil"/>
              <w:right w:val="nil"/>
            </w:tcBorders>
            <w:shd w:val="clear" w:color="auto" w:fill="auto"/>
            <w:noWrap/>
            <w:vAlign w:val="center"/>
            <w:hideMark/>
          </w:tcPr>
          <w:p w14:paraId="0740DC36"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3,195</w:t>
            </w:r>
          </w:p>
        </w:tc>
        <w:tc>
          <w:tcPr>
            <w:tcW w:w="738" w:type="pct"/>
            <w:tcBorders>
              <w:top w:val="nil"/>
              <w:left w:val="nil"/>
              <w:bottom w:val="nil"/>
              <w:right w:val="nil"/>
            </w:tcBorders>
            <w:shd w:val="clear" w:color="auto" w:fill="auto"/>
            <w:noWrap/>
            <w:vAlign w:val="center"/>
            <w:hideMark/>
          </w:tcPr>
          <w:p w14:paraId="5E4CB392"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2,87</w:t>
            </w:r>
          </w:p>
        </w:tc>
      </w:tr>
      <w:tr w:rsidR="003E0246" w:rsidRPr="003E0246" w14:paraId="5EDDBADC" w14:textId="77777777" w:rsidTr="003E0246">
        <w:trPr>
          <w:trHeight w:val="238"/>
        </w:trPr>
        <w:tc>
          <w:tcPr>
            <w:tcW w:w="2065" w:type="pct"/>
            <w:tcBorders>
              <w:top w:val="nil"/>
              <w:left w:val="nil"/>
              <w:bottom w:val="nil"/>
              <w:right w:val="nil"/>
            </w:tcBorders>
            <w:shd w:val="clear" w:color="auto" w:fill="auto"/>
            <w:noWrap/>
            <w:vAlign w:val="center"/>
            <w:hideMark/>
          </w:tcPr>
          <w:p w14:paraId="573795DB" w14:textId="77777777" w:rsidR="003E0246" w:rsidRPr="003E0246" w:rsidRDefault="003E0246" w:rsidP="003E0246">
            <w:pPr>
              <w:tabs>
                <w:tab w:val="clear" w:pos="851"/>
              </w:tabs>
              <w:spacing w:before="0" w:after="0" w:line="240" w:lineRule="auto"/>
              <w:jc w:val="left"/>
              <w:rPr>
                <w:rFonts w:ascii="Arial" w:hAnsi="Arial" w:cs="Arial"/>
                <w:color w:val="000000"/>
                <w:sz w:val="18"/>
                <w:szCs w:val="18"/>
                <w:lang w:eastAsia="pt-BR"/>
              </w:rPr>
            </w:pPr>
            <w:r w:rsidRPr="003E0246">
              <w:rPr>
                <w:rFonts w:ascii="Arial" w:hAnsi="Arial" w:cs="Arial"/>
                <w:color w:val="000000"/>
                <w:sz w:val="18"/>
                <w:szCs w:val="18"/>
                <w:lang w:eastAsia="pt-BR"/>
              </w:rPr>
              <w:t>Composição do Endividamento</w:t>
            </w:r>
          </w:p>
        </w:tc>
        <w:tc>
          <w:tcPr>
            <w:tcW w:w="719" w:type="pct"/>
            <w:tcBorders>
              <w:top w:val="nil"/>
              <w:left w:val="nil"/>
              <w:bottom w:val="nil"/>
              <w:right w:val="nil"/>
            </w:tcBorders>
            <w:shd w:val="clear" w:color="auto" w:fill="auto"/>
            <w:vAlign w:val="center"/>
            <w:hideMark/>
          </w:tcPr>
          <w:p w14:paraId="0A7CD58B"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w:t>
            </w:r>
          </w:p>
        </w:tc>
        <w:tc>
          <w:tcPr>
            <w:tcW w:w="739" w:type="pct"/>
            <w:tcBorders>
              <w:top w:val="nil"/>
              <w:left w:val="nil"/>
              <w:bottom w:val="nil"/>
              <w:right w:val="nil"/>
            </w:tcBorders>
            <w:shd w:val="clear" w:color="auto" w:fill="auto"/>
            <w:noWrap/>
            <w:vAlign w:val="center"/>
            <w:hideMark/>
          </w:tcPr>
          <w:p w14:paraId="7218E6F2"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46,88%</w:t>
            </w:r>
          </w:p>
        </w:tc>
        <w:tc>
          <w:tcPr>
            <w:tcW w:w="739" w:type="pct"/>
            <w:tcBorders>
              <w:top w:val="nil"/>
              <w:left w:val="nil"/>
              <w:bottom w:val="nil"/>
              <w:right w:val="nil"/>
            </w:tcBorders>
            <w:shd w:val="clear" w:color="auto" w:fill="auto"/>
            <w:noWrap/>
            <w:vAlign w:val="center"/>
            <w:hideMark/>
          </w:tcPr>
          <w:p w14:paraId="4060CD9F"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40,21%</w:t>
            </w:r>
          </w:p>
        </w:tc>
        <w:tc>
          <w:tcPr>
            <w:tcW w:w="738" w:type="pct"/>
            <w:tcBorders>
              <w:top w:val="nil"/>
              <w:left w:val="nil"/>
              <w:bottom w:val="nil"/>
              <w:right w:val="nil"/>
            </w:tcBorders>
            <w:shd w:val="clear" w:color="auto" w:fill="auto"/>
            <w:noWrap/>
            <w:vAlign w:val="center"/>
            <w:hideMark/>
          </w:tcPr>
          <w:p w14:paraId="5CBD2267"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30,96%</w:t>
            </w:r>
          </w:p>
        </w:tc>
      </w:tr>
      <w:tr w:rsidR="003E0246" w:rsidRPr="003E0246" w14:paraId="5FF00A58" w14:textId="77777777" w:rsidTr="003E0246">
        <w:trPr>
          <w:trHeight w:val="238"/>
        </w:trPr>
        <w:tc>
          <w:tcPr>
            <w:tcW w:w="2065" w:type="pct"/>
            <w:tcBorders>
              <w:top w:val="nil"/>
              <w:left w:val="nil"/>
              <w:bottom w:val="nil"/>
              <w:right w:val="nil"/>
            </w:tcBorders>
            <w:shd w:val="clear" w:color="auto" w:fill="auto"/>
            <w:noWrap/>
            <w:vAlign w:val="center"/>
            <w:hideMark/>
          </w:tcPr>
          <w:p w14:paraId="7B5663E8" w14:textId="77777777" w:rsidR="003E0246" w:rsidRPr="003E0246" w:rsidRDefault="003E0246" w:rsidP="003E0246">
            <w:pPr>
              <w:tabs>
                <w:tab w:val="clear" w:pos="851"/>
              </w:tabs>
              <w:spacing w:before="0" w:after="0" w:line="240" w:lineRule="auto"/>
              <w:jc w:val="left"/>
              <w:rPr>
                <w:rFonts w:ascii="Arial" w:hAnsi="Arial" w:cs="Arial"/>
                <w:color w:val="000000"/>
                <w:sz w:val="18"/>
                <w:szCs w:val="18"/>
                <w:lang w:eastAsia="pt-BR"/>
              </w:rPr>
            </w:pPr>
            <w:r w:rsidRPr="003E0246">
              <w:rPr>
                <w:rFonts w:ascii="Arial" w:hAnsi="Arial" w:cs="Arial"/>
                <w:color w:val="000000"/>
                <w:sz w:val="18"/>
                <w:szCs w:val="18"/>
                <w:lang w:eastAsia="pt-BR"/>
              </w:rPr>
              <w:t>Grau de Endividamento</w:t>
            </w:r>
          </w:p>
        </w:tc>
        <w:tc>
          <w:tcPr>
            <w:tcW w:w="719" w:type="pct"/>
            <w:tcBorders>
              <w:top w:val="nil"/>
              <w:left w:val="nil"/>
              <w:bottom w:val="nil"/>
              <w:right w:val="nil"/>
            </w:tcBorders>
            <w:shd w:val="clear" w:color="auto" w:fill="auto"/>
            <w:vAlign w:val="center"/>
            <w:hideMark/>
          </w:tcPr>
          <w:p w14:paraId="3C43C141"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w:t>
            </w:r>
          </w:p>
        </w:tc>
        <w:tc>
          <w:tcPr>
            <w:tcW w:w="739" w:type="pct"/>
            <w:tcBorders>
              <w:top w:val="nil"/>
              <w:left w:val="nil"/>
              <w:bottom w:val="nil"/>
              <w:right w:val="nil"/>
            </w:tcBorders>
            <w:shd w:val="clear" w:color="auto" w:fill="auto"/>
            <w:noWrap/>
            <w:vAlign w:val="center"/>
            <w:hideMark/>
          </w:tcPr>
          <w:p w14:paraId="0E59ABC4"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11,61%</w:t>
            </w:r>
          </w:p>
        </w:tc>
        <w:tc>
          <w:tcPr>
            <w:tcW w:w="739" w:type="pct"/>
            <w:tcBorders>
              <w:top w:val="nil"/>
              <w:left w:val="nil"/>
              <w:bottom w:val="nil"/>
              <w:right w:val="nil"/>
            </w:tcBorders>
            <w:shd w:val="clear" w:color="auto" w:fill="auto"/>
            <w:noWrap/>
            <w:vAlign w:val="center"/>
            <w:hideMark/>
          </w:tcPr>
          <w:p w14:paraId="211F26D1"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13,04%</w:t>
            </w:r>
          </w:p>
        </w:tc>
        <w:tc>
          <w:tcPr>
            <w:tcW w:w="738" w:type="pct"/>
            <w:tcBorders>
              <w:top w:val="nil"/>
              <w:left w:val="nil"/>
              <w:bottom w:val="nil"/>
              <w:right w:val="nil"/>
            </w:tcBorders>
            <w:shd w:val="clear" w:color="auto" w:fill="auto"/>
            <w:noWrap/>
            <w:vAlign w:val="center"/>
            <w:hideMark/>
          </w:tcPr>
          <w:p w14:paraId="4320E4A3"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13,46%</w:t>
            </w:r>
          </w:p>
        </w:tc>
      </w:tr>
      <w:tr w:rsidR="003E0246" w:rsidRPr="003E0246" w14:paraId="1F73AA2C" w14:textId="77777777" w:rsidTr="003E0246">
        <w:trPr>
          <w:trHeight w:val="238"/>
        </w:trPr>
        <w:tc>
          <w:tcPr>
            <w:tcW w:w="2065" w:type="pct"/>
            <w:tcBorders>
              <w:top w:val="nil"/>
              <w:left w:val="nil"/>
              <w:bottom w:val="single" w:sz="8" w:space="0" w:color="4472C4"/>
              <w:right w:val="nil"/>
            </w:tcBorders>
            <w:shd w:val="clear" w:color="auto" w:fill="auto"/>
            <w:noWrap/>
            <w:vAlign w:val="center"/>
            <w:hideMark/>
          </w:tcPr>
          <w:p w14:paraId="16C9B69A" w14:textId="77777777" w:rsidR="003E0246" w:rsidRPr="003E0246" w:rsidRDefault="003E0246" w:rsidP="003E0246">
            <w:pPr>
              <w:tabs>
                <w:tab w:val="clear" w:pos="851"/>
              </w:tabs>
              <w:spacing w:before="0" w:after="0" w:line="240" w:lineRule="auto"/>
              <w:jc w:val="left"/>
              <w:rPr>
                <w:rFonts w:ascii="Arial" w:hAnsi="Arial" w:cs="Arial"/>
                <w:color w:val="000000"/>
                <w:sz w:val="18"/>
                <w:szCs w:val="18"/>
                <w:lang w:eastAsia="pt-BR"/>
              </w:rPr>
            </w:pPr>
            <w:r w:rsidRPr="003E0246">
              <w:rPr>
                <w:rFonts w:ascii="Arial" w:hAnsi="Arial" w:cs="Arial"/>
                <w:color w:val="000000"/>
                <w:sz w:val="18"/>
                <w:szCs w:val="18"/>
                <w:lang w:eastAsia="pt-BR"/>
              </w:rPr>
              <w:t>Participação de Capital de Terceiros</w:t>
            </w:r>
          </w:p>
        </w:tc>
        <w:tc>
          <w:tcPr>
            <w:tcW w:w="719" w:type="pct"/>
            <w:tcBorders>
              <w:top w:val="nil"/>
              <w:left w:val="nil"/>
              <w:bottom w:val="single" w:sz="8" w:space="0" w:color="4472C4"/>
              <w:right w:val="nil"/>
            </w:tcBorders>
            <w:shd w:val="clear" w:color="auto" w:fill="auto"/>
            <w:vAlign w:val="center"/>
            <w:hideMark/>
          </w:tcPr>
          <w:p w14:paraId="536EE33F"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w:t>
            </w:r>
          </w:p>
        </w:tc>
        <w:tc>
          <w:tcPr>
            <w:tcW w:w="739" w:type="pct"/>
            <w:tcBorders>
              <w:top w:val="nil"/>
              <w:left w:val="nil"/>
              <w:bottom w:val="single" w:sz="8" w:space="0" w:color="4472C4"/>
              <w:right w:val="nil"/>
            </w:tcBorders>
            <w:shd w:val="clear" w:color="auto" w:fill="auto"/>
            <w:noWrap/>
            <w:vAlign w:val="center"/>
            <w:hideMark/>
          </w:tcPr>
          <w:p w14:paraId="6010D5A8"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13,15%</w:t>
            </w:r>
          </w:p>
        </w:tc>
        <w:tc>
          <w:tcPr>
            <w:tcW w:w="739" w:type="pct"/>
            <w:tcBorders>
              <w:top w:val="nil"/>
              <w:left w:val="nil"/>
              <w:bottom w:val="single" w:sz="8" w:space="0" w:color="4472C4"/>
              <w:right w:val="nil"/>
            </w:tcBorders>
            <w:shd w:val="clear" w:color="auto" w:fill="auto"/>
            <w:noWrap/>
            <w:vAlign w:val="center"/>
            <w:hideMark/>
          </w:tcPr>
          <w:p w14:paraId="00E16BD8"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15,00%</w:t>
            </w:r>
          </w:p>
        </w:tc>
        <w:tc>
          <w:tcPr>
            <w:tcW w:w="738" w:type="pct"/>
            <w:tcBorders>
              <w:top w:val="nil"/>
              <w:left w:val="nil"/>
              <w:bottom w:val="single" w:sz="8" w:space="0" w:color="4472C4"/>
              <w:right w:val="nil"/>
            </w:tcBorders>
            <w:shd w:val="clear" w:color="auto" w:fill="auto"/>
            <w:noWrap/>
            <w:vAlign w:val="center"/>
            <w:hideMark/>
          </w:tcPr>
          <w:p w14:paraId="62F300D4" w14:textId="77777777" w:rsidR="003E0246" w:rsidRPr="003E0246" w:rsidRDefault="003E0246" w:rsidP="003E0246">
            <w:pPr>
              <w:tabs>
                <w:tab w:val="clear" w:pos="851"/>
              </w:tabs>
              <w:spacing w:before="0" w:after="0" w:line="240" w:lineRule="auto"/>
              <w:jc w:val="right"/>
              <w:rPr>
                <w:rFonts w:ascii="Arial" w:hAnsi="Arial" w:cs="Arial"/>
                <w:color w:val="000000"/>
                <w:sz w:val="18"/>
                <w:szCs w:val="18"/>
                <w:lang w:eastAsia="pt-BR"/>
              </w:rPr>
            </w:pPr>
            <w:r w:rsidRPr="003E0246">
              <w:rPr>
                <w:rFonts w:ascii="Arial" w:hAnsi="Arial" w:cs="Arial"/>
                <w:color w:val="000000"/>
                <w:sz w:val="18"/>
                <w:szCs w:val="18"/>
                <w:lang w:eastAsia="pt-BR"/>
              </w:rPr>
              <w:t>15,69%</w:t>
            </w:r>
          </w:p>
        </w:tc>
      </w:tr>
    </w:tbl>
    <w:p w14:paraId="0285F0CE" w14:textId="77777777" w:rsidR="003E0246" w:rsidRPr="00F22BF6" w:rsidRDefault="003E0246" w:rsidP="003E0246">
      <w:pPr>
        <w:pStyle w:val="Corpodetexto"/>
        <w:spacing w:before="0" w:after="0"/>
        <w:rPr>
          <w:rFonts w:ascii="Arial" w:hAnsi="Arial" w:cs="Arial"/>
          <w:sz w:val="16"/>
          <w:szCs w:val="16"/>
        </w:rPr>
      </w:pPr>
      <w:r w:rsidRPr="00F22BF6">
        <w:rPr>
          <w:rFonts w:ascii="Arial" w:hAnsi="Arial" w:cs="Arial"/>
          <w:sz w:val="16"/>
          <w:szCs w:val="16"/>
        </w:rPr>
        <w:t>Para fins de cálculo dos indicadores financeiros as rubricas de Despesas Antecipadas, Receitas Diferidas e Adiantamento para Futuro Aumento de Capital foram reclassificadas para o Patrimônio Líquido.</w:t>
      </w:r>
    </w:p>
    <w:p w14:paraId="59703C4E" w14:textId="77777777" w:rsidR="00393495" w:rsidRDefault="00393495" w:rsidP="00087F48">
      <w:pPr>
        <w:pStyle w:val="Corpodetexto"/>
        <w:spacing w:before="120"/>
        <w:rPr>
          <w:rFonts w:eastAsia="Arial"/>
          <w:b/>
          <w:sz w:val="22"/>
        </w:rPr>
      </w:pPr>
    </w:p>
    <w:p w14:paraId="7DC434E5" w14:textId="02C84E4B" w:rsidR="003E0246" w:rsidRPr="00087F48" w:rsidRDefault="003E0246" w:rsidP="00087F48">
      <w:pPr>
        <w:pStyle w:val="Corpodetexto"/>
        <w:spacing w:before="120"/>
        <w:rPr>
          <w:rFonts w:eastAsia="Arial"/>
          <w:sz w:val="22"/>
        </w:rPr>
      </w:pPr>
      <w:r w:rsidRPr="00087F48">
        <w:rPr>
          <w:rFonts w:eastAsia="Arial"/>
          <w:b/>
          <w:sz w:val="22"/>
        </w:rPr>
        <w:t xml:space="preserve">Ativo Circulante – </w:t>
      </w:r>
      <w:r w:rsidRPr="00087F48">
        <w:rPr>
          <w:rFonts w:eastAsia="Arial"/>
          <w:sz w:val="22"/>
        </w:rPr>
        <w:t xml:space="preserve">O Ativo Circulante no final do ano de 2023 apresentou aumento de 5,1% e 10,3% em relação aos anos de 2022 e 2021, respectivamente. O aumento em relação aos exercícios comparados é explicado pelos aumentos das disponibilidades financeiras, dos tributos a recuperar/compensar e do contas a receber. </w:t>
      </w:r>
    </w:p>
    <w:p w14:paraId="66673993" w14:textId="7428EEB8" w:rsidR="003E0246" w:rsidRPr="00087F48" w:rsidRDefault="003E0246" w:rsidP="00087F48">
      <w:pPr>
        <w:pStyle w:val="Corpodetexto"/>
        <w:spacing w:before="120"/>
        <w:rPr>
          <w:rFonts w:eastAsia="Arial"/>
          <w:sz w:val="22"/>
        </w:rPr>
      </w:pPr>
      <w:r w:rsidRPr="00087F48">
        <w:rPr>
          <w:rFonts w:eastAsia="Arial"/>
          <w:b/>
          <w:sz w:val="22"/>
        </w:rPr>
        <w:t xml:space="preserve">Ativo Não Circulante – </w:t>
      </w:r>
      <w:r w:rsidRPr="00087F48">
        <w:rPr>
          <w:rFonts w:eastAsia="Arial"/>
          <w:sz w:val="22"/>
        </w:rPr>
        <w:t xml:space="preserve">O grupo apresentou redução de 4,4% na comparação com o ano de 2022 e de 9,3% em relação a 2021. Esse comportamento é reflexo dos seguintes eventos: i) </w:t>
      </w:r>
      <w:r w:rsidR="00393495" w:rsidRPr="003E0246">
        <w:rPr>
          <w:rFonts w:eastAsia="Arial"/>
          <w:sz w:val="22"/>
        </w:rPr>
        <w:t>transferências</w:t>
      </w:r>
      <w:r w:rsidRPr="00087F48">
        <w:rPr>
          <w:rFonts w:eastAsia="Arial"/>
          <w:sz w:val="22"/>
        </w:rPr>
        <w:t xml:space="preserve"> </w:t>
      </w:r>
      <w:r w:rsidRPr="00087F48">
        <w:rPr>
          <w:rFonts w:eastAsia="Arial"/>
          <w:sz w:val="22"/>
        </w:rPr>
        <w:lastRenderedPageBreak/>
        <w:t xml:space="preserve">realizadas para o Circulante de valores relativos ao Superavit de Previdência Privada e Despesas Antecipadas; e </w:t>
      </w:r>
      <w:proofErr w:type="spellStart"/>
      <w:r w:rsidRPr="00087F48">
        <w:rPr>
          <w:rFonts w:eastAsia="Arial"/>
          <w:sz w:val="22"/>
        </w:rPr>
        <w:t>ii</w:t>
      </w:r>
      <w:proofErr w:type="spellEnd"/>
      <w:r w:rsidRPr="00087F48">
        <w:rPr>
          <w:rFonts w:eastAsia="Arial"/>
          <w:sz w:val="22"/>
        </w:rPr>
        <w:t>) Depreciação e Amortização do Imobilizado e Intangível.</w:t>
      </w:r>
    </w:p>
    <w:p w14:paraId="4AC971D8" w14:textId="79F02047" w:rsidR="003E0246" w:rsidRPr="00087F48" w:rsidRDefault="003E0246" w:rsidP="00087F48">
      <w:pPr>
        <w:pStyle w:val="Corpodetexto"/>
        <w:spacing w:before="120"/>
        <w:rPr>
          <w:rFonts w:eastAsia="Arial"/>
          <w:sz w:val="22"/>
        </w:rPr>
      </w:pPr>
      <w:r w:rsidRPr="00087F48">
        <w:rPr>
          <w:rFonts w:eastAsia="Arial"/>
          <w:b/>
          <w:sz w:val="22"/>
        </w:rPr>
        <w:t xml:space="preserve">Passivo Circulante: </w:t>
      </w:r>
      <w:r w:rsidRPr="00087F48">
        <w:rPr>
          <w:rFonts w:eastAsia="Arial"/>
          <w:sz w:val="22"/>
        </w:rPr>
        <w:t xml:space="preserve">O comportamento desta rubrica na comparação entre o exercício de 2023 e os exercícios de 2022 e 2021, apresentou redução de 12,7% e 13,3%, respectivamente. A diminuição é justificada pelos seguintes eventos: i) amortização das </w:t>
      </w:r>
      <w:r w:rsidR="00393495" w:rsidRPr="003E0246">
        <w:rPr>
          <w:rFonts w:eastAsia="Arial"/>
          <w:sz w:val="22"/>
        </w:rPr>
        <w:t>dívidas</w:t>
      </w:r>
      <w:r w:rsidRPr="00087F48">
        <w:rPr>
          <w:rFonts w:eastAsia="Arial"/>
          <w:sz w:val="22"/>
        </w:rPr>
        <w:t xml:space="preserve"> (Empréstimos e </w:t>
      </w:r>
      <w:r w:rsidR="00393495" w:rsidRPr="003E0246">
        <w:rPr>
          <w:rFonts w:eastAsia="Arial"/>
          <w:sz w:val="22"/>
        </w:rPr>
        <w:t>Financiamento</w:t>
      </w:r>
      <w:r w:rsidRPr="00087F48">
        <w:rPr>
          <w:rFonts w:eastAsia="Arial"/>
          <w:sz w:val="22"/>
        </w:rPr>
        <w:t xml:space="preserve"> e Credores por Perdas Judiciais); </w:t>
      </w:r>
      <w:proofErr w:type="spellStart"/>
      <w:r w:rsidRPr="00087F48">
        <w:rPr>
          <w:rFonts w:eastAsia="Arial"/>
          <w:sz w:val="22"/>
        </w:rPr>
        <w:t>ii</w:t>
      </w:r>
      <w:proofErr w:type="spellEnd"/>
      <w:r w:rsidRPr="00087F48">
        <w:rPr>
          <w:rFonts w:eastAsia="Arial"/>
          <w:sz w:val="22"/>
        </w:rPr>
        <w:t xml:space="preserve">) baixa </w:t>
      </w:r>
      <w:proofErr w:type="gramStart"/>
      <w:r w:rsidRPr="00087F48">
        <w:rPr>
          <w:rFonts w:eastAsia="Arial"/>
          <w:sz w:val="22"/>
        </w:rPr>
        <w:t>das  Receitas</w:t>
      </w:r>
      <w:proofErr w:type="gramEnd"/>
      <w:r w:rsidRPr="00087F48">
        <w:rPr>
          <w:rFonts w:eastAsia="Arial"/>
          <w:sz w:val="22"/>
        </w:rPr>
        <w:t xml:space="preserve"> Diferidas em função do reconhecimento da receita no resultado do exercício pela prestação dos serviços; e </w:t>
      </w:r>
      <w:proofErr w:type="spellStart"/>
      <w:r w:rsidRPr="00087F48">
        <w:rPr>
          <w:rFonts w:eastAsia="Arial"/>
          <w:sz w:val="22"/>
        </w:rPr>
        <w:t>iii</w:t>
      </w:r>
      <w:proofErr w:type="spellEnd"/>
      <w:r w:rsidRPr="00087F48">
        <w:rPr>
          <w:rFonts w:eastAsia="Arial"/>
          <w:sz w:val="22"/>
        </w:rPr>
        <w:t>) redução do valores de Provisão para Riscos Prováveis (Contingências).</w:t>
      </w:r>
    </w:p>
    <w:p w14:paraId="73245A12" w14:textId="2153A25F" w:rsidR="003E0246" w:rsidRPr="00087F48" w:rsidRDefault="003E0246" w:rsidP="00087F48">
      <w:pPr>
        <w:pStyle w:val="Corpodetexto"/>
        <w:spacing w:before="120"/>
        <w:rPr>
          <w:rFonts w:eastAsia="Arial"/>
          <w:sz w:val="22"/>
        </w:rPr>
      </w:pPr>
      <w:r w:rsidRPr="00087F48">
        <w:rPr>
          <w:rFonts w:eastAsia="Arial"/>
          <w:b/>
          <w:sz w:val="22"/>
        </w:rPr>
        <w:t xml:space="preserve">Passivo Não Circulante - </w:t>
      </w:r>
      <w:r w:rsidRPr="00087F48">
        <w:rPr>
          <w:rFonts w:eastAsia="Arial"/>
          <w:sz w:val="22"/>
        </w:rPr>
        <w:t>O Passivo não Circulante apresentou aumento de 6,4% e redução de 4,8% na comparação com os exercícios de 2022 e 2021, respectivamente. Esse comportamento é justificado pelas transferências para o Circulante em função dos vencimentos que ocorrerão no decorrer dos próximos 12 meses, principalmente das rubricas de Empréstimos e Financiamentos, de Receitas Diferidas e de Credores por Perdas Judiciais, e pelo recebimento de recursos de Adiantamento para Futuro Aumento de Capital no período.</w:t>
      </w:r>
    </w:p>
    <w:p w14:paraId="6D31D7B4" w14:textId="535DD9AF" w:rsidR="003E0246" w:rsidRPr="00087F48" w:rsidRDefault="003E0246" w:rsidP="00087F48">
      <w:pPr>
        <w:pStyle w:val="Corpodetexto"/>
        <w:spacing w:before="120"/>
        <w:rPr>
          <w:rFonts w:eastAsia="Arial"/>
          <w:sz w:val="22"/>
        </w:rPr>
      </w:pPr>
      <w:r w:rsidRPr="00087F48">
        <w:rPr>
          <w:rFonts w:eastAsia="Arial"/>
          <w:b/>
          <w:sz w:val="22"/>
        </w:rPr>
        <w:t xml:space="preserve">Patrimônio Líquido – </w:t>
      </w:r>
      <w:r w:rsidRPr="00087F48">
        <w:rPr>
          <w:rFonts w:eastAsia="Arial"/>
          <w:sz w:val="22"/>
        </w:rPr>
        <w:t xml:space="preserve">O exercício de 2023, quando comparado aos exercícios de 2022 apresentou uma diminuição de 8,3%, explicada pelo resultado negativo (Prejuízo do Exercício) no exercício de 2023. Em relação ao ano de 2021 houve um </w:t>
      </w:r>
      <w:r w:rsidR="00393495" w:rsidRPr="003E0246">
        <w:rPr>
          <w:rFonts w:eastAsia="Arial"/>
          <w:sz w:val="22"/>
        </w:rPr>
        <w:t>aumento</w:t>
      </w:r>
      <w:r w:rsidRPr="00087F48">
        <w:rPr>
          <w:rFonts w:eastAsia="Arial"/>
          <w:sz w:val="22"/>
        </w:rPr>
        <w:t xml:space="preserve"> de 4,6%, justificado pelo aumento de capital realizado no exercício de 2022, no </w:t>
      </w:r>
      <w:r w:rsidR="00393495" w:rsidRPr="003E0246">
        <w:rPr>
          <w:rFonts w:eastAsia="Arial"/>
          <w:sz w:val="22"/>
        </w:rPr>
        <w:t>montante</w:t>
      </w:r>
      <w:r w:rsidRPr="00087F48">
        <w:rPr>
          <w:rFonts w:eastAsia="Arial"/>
          <w:sz w:val="22"/>
        </w:rPr>
        <w:t xml:space="preserve"> de R$ 367,2 milhões, apesar </w:t>
      </w:r>
      <w:proofErr w:type="gramStart"/>
      <w:r w:rsidRPr="00087F48">
        <w:rPr>
          <w:rFonts w:eastAsia="Arial"/>
          <w:sz w:val="22"/>
        </w:rPr>
        <w:t>do  prejuízo</w:t>
      </w:r>
      <w:proofErr w:type="gramEnd"/>
      <w:r w:rsidRPr="00087F48">
        <w:rPr>
          <w:rFonts w:eastAsia="Arial"/>
          <w:sz w:val="22"/>
        </w:rPr>
        <w:t xml:space="preserve"> apurado no exercício.</w:t>
      </w:r>
    </w:p>
    <w:p w14:paraId="33AF29BE" w14:textId="545E1E60" w:rsidR="003E68A6" w:rsidRPr="00144C89" w:rsidRDefault="003E68A6" w:rsidP="004E4BD9">
      <w:pPr>
        <w:pStyle w:val="Ttulo2"/>
        <w:spacing w:before="360" w:after="240" w:line="276" w:lineRule="auto"/>
        <w:ind w:left="567" w:hanging="510"/>
      </w:pPr>
      <w:r w:rsidRPr="00144C89">
        <w:tab/>
      </w:r>
      <w:bookmarkStart w:id="9" w:name="_Toc161319432"/>
      <w:r w:rsidRPr="00144C89">
        <w:t>Estrutura Econômica da Companhia – Principais Rubricas</w:t>
      </w:r>
      <w:bookmarkEnd w:id="9"/>
    </w:p>
    <w:p w14:paraId="2FC285E1" w14:textId="4E5F7C1E" w:rsidR="003E0246" w:rsidRDefault="003E0246" w:rsidP="00087F48">
      <w:pPr>
        <w:spacing w:line="240" w:lineRule="auto"/>
        <w:rPr>
          <w:rFonts w:eastAsia="Arial"/>
          <w:sz w:val="22"/>
        </w:rPr>
      </w:pPr>
      <w:r w:rsidRPr="003E0246">
        <w:rPr>
          <w:rFonts w:eastAsia="Arial"/>
          <w:sz w:val="22"/>
        </w:rPr>
        <w:t>O resultado obtido pela Companhia no exercício de 2023 comparado com os exercícios de 2022 e 2021 está apresentado a seguir com explicações sobre as principais variações ocorridas entre os períodos apresentados.</w:t>
      </w:r>
    </w:p>
    <w:tbl>
      <w:tblPr>
        <w:tblW w:w="5000" w:type="pct"/>
        <w:tblCellMar>
          <w:left w:w="70" w:type="dxa"/>
          <w:right w:w="70" w:type="dxa"/>
        </w:tblCellMar>
        <w:tblLook w:val="04A0" w:firstRow="1" w:lastRow="0" w:firstColumn="1" w:lastColumn="0" w:noHBand="0" w:noVBand="1"/>
      </w:tblPr>
      <w:tblGrid>
        <w:gridCol w:w="5705"/>
        <w:gridCol w:w="1123"/>
        <w:gridCol w:w="1123"/>
        <w:gridCol w:w="1121"/>
      </w:tblGrid>
      <w:tr w:rsidR="00227AE1" w:rsidRPr="00393495" w14:paraId="0DCE3779" w14:textId="77777777" w:rsidTr="00052435">
        <w:trPr>
          <w:trHeight w:val="238"/>
          <w:tblHeader/>
        </w:trPr>
        <w:tc>
          <w:tcPr>
            <w:tcW w:w="3144" w:type="pct"/>
            <w:tcBorders>
              <w:top w:val="single" w:sz="8" w:space="0" w:color="8EAADB"/>
              <w:left w:val="nil"/>
              <w:bottom w:val="single" w:sz="8" w:space="0" w:color="8EAADB"/>
              <w:right w:val="nil"/>
            </w:tcBorders>
            <w:shd w:val="clear" w:color="auto" w:fill="auto"/>
            <w:vAlign w:val="center"/>
            <w:hideMark/>
          </w:tcPr>
          <w:p w14:paraId="55932B68" w14:textId="77777777" w:rsidR="00227AE1" w:rsidRPr="00087F48" w:rsidRDefault="00227AE1" w:rsidP="00227AE1">
            <w:pPr>
              <w:tabs>
                <w:tab w:val="clear" w:pos="851"/>
              </w:tabs>
              <w:spacing w:before="0" w:after="0" w:line="240" w:lineRule="auto"/>
              <w:jc w:val="left"/>
              <w:rPr>
                <w:rFonts w:ascii="Arial" w:hAnsi="Arial" w:cs="Arial"/>
                <w:b/>
                <w:bCs/>
                <w:color w:val="2E74B5"/>
                <w:sz w:val="16"/>
                <w:szCs w:val="18"/>
                <w:lang w:eastAsia="pt-BR"/>
              </w:rPr>
            </w:pPr>
            <w:r w:rsidRPr="00087F48">
              <w:rPr>
                <w:rFonts w:ascii="Arial" w:hAnsi="Arial" w:cs="Arial"/>
                <w:b/>
                <w:bCs/>
                <w:color w:val="2E74B5"/>
                <w:sz w:val="16"/>
                <w:szCs w:val="18"/>
                <w:lang w:eastAsia="pt-BR"/>
              </w:rPr>
              <w:t>R$ mil</w:t>
            </w:r>
          </w:p>
        </w:tc>
        <w:tc>
          <w:tcPr>
            <w:tcW w:w="619" w:type="pct"/>
            <w:tcBorders>
              <w:top w:val="single" w:sz="8" w:space="0" w:color="8EAADB"/>
              <w:left w:val="nil"/>
              <w:bottom w:val="single" w:sz="8" w:space="0" w:color="8EAADB"/>
              <w:right w:val="nil"/>
            </w:tcBorders>
            <w:shd w:val="clear" w:color="auto" w:fill="auto"/>
            <w:vAlign w:val="center"/>
            <w:hideMark/>
          </w:tcPr>
          <w:p w14:paraId="09F526D4" w14:textId="77777777" w:rsidR="00227AE1" w:rsidRPr="00087F48" w:rsidRDefault="00227AE1" w:rsidP="00227AE1">
            <w:pPr>
              <w:tabs>
                <w:tab w:val="clear" w:pos="851"/>
              </w:tabs>
              <w:spacing w:before="0" w:after="0" w:line="240" w:lineRule="auto"/>
              <w:jc w:val="center"/>
              <w:rPr>
                <w:rFonts w:ascii="Arial" w:hAnsi="Arial" w:cs="Arial"/>
                <w:b/>
                <w:bCs/>
                <w:color w:val="2E74B5"/>
                <w:sz w:val="16"/>
                <w:szCs w:val="18"/>
                <w:lang w:eastAsia="pt-BR"/>
              </w:rPr>
            </w:pPr>
            <w:r w:rsidRPr="00087F48">
              <w:rPr>
                <w:rFonts w:ascii="Arial" w:hAnsi="Arial" w:cs="Arial"/>
                <w:b/>
                <w:bCs/>
                <w:color w:val="2E74B5"/>
                <w:sz w:val="16"/>
                <w:szCs w:val="18"/>
                <w:lang w:eastAsia="pt-BR"/>
              </w:rPr>
              <w:t>2023</w:t>
            </w:r>
          </w:p>
        </w:tc>
        <w:tc>
          <w:tcPr>
            <w:tcW w:w="619" w:type="pct"/>
            <w:tcBorders>
              <w:top w:val="single" w:sz="8" w:space="0" w:color="8EAADB"/>
              <w:left w:val="nil"/>
              <w:bottom w:val="single" w:sz="8" w:space="0" w:color="8EAADB"/>
              <w:right w:val="nil"/>
            </w:tcBorders>
            <w:shd w:val="clear" w:color="auto" w:fill="auto"/>
            <w:vAlign w:val="center"/>
            <w:hideMark/>
          </w:tcPr>
          <w:p w14:paraId="1CDF3D21" w14:textId="77777777" w:rsidR="00227AE1" w:rsidRPr="00087F48" w:rsidRDefault="00227AE1" w:rsidP="00227AE1">
            <w:pPr>
              <w:tabs>
                <w:tab w:val="clear" w:pos="851"/>
              </w:tabs>
              <w:spacing w:before="0" w:after="0" w:line="240" w:lineRule="auto"/>
              <w:jc w:val="center"/>
              <w:rPr>
                <w:rFonts w:ascii="Arial" w:hAnsi="Arial" w:cs="Arial"/>
                <w:b/>
                <w:bCs/>
                <w:color w:val="2E74B5"/>
                <w:sz w:val="16"/>
                <w:szCs w:val="18"/>
                <w:lang w:eastAsia="pt-BR"/>
              </w:rPr>
            </w:pPr>
            <w:r w:rsidRPr="00087F48">
              <w:rPr>
                <w:rFonts w:ascii="Arial" w:hAnsi="Arial" w:cs="Arial"/>
                <w:b/>
                <w:bCs/>
                <w:color w:val="2E74B5"/>
                <w:sz w:val="16"/>
                <w:szCs w:val="18"/>
                <w:lang w:eastAsia="pt-BR"/>
              </w:rPr>
              <w:t>2022</w:t>
            </w:r>
          </w:p>
        </w:tc>
        <w:tc>
          <w:tcPr>
            <w:tcW w:w="619" w:type="pct"/>
            <w:tcBorders>
              <w:top w:val="single" w:sz="8" w:space="0" w:color="8EAADB"/>
              <w:left w:val="nil"/>
              <w:bottom w:val="single" w:sz="8" w:space="0" w:color="8EAADB"/>
              <w:right w:val="nil"/>
            </w:tcBorders>
            <w:shd w:val="clear" w:color="auto" w:fill="auto"/>
            <w:vAlign w:val="center"/>
            <w:hideMark/>
          </w:tcPr>
          <w:p w14:paraId="3B38D19D" w14:textId="77777777" w:rsidR="00227AE1" w:rsidRPr="00087F48" w:rsidRDefault="00227AE1" w:rsidP="00227AE1">
            <w:pPr>
              <w:tabs>
                <w:tab w:val="clear" w:pos="851"/>
              </w:tabs>
              <w:spacing w:before="0" w:after="0" w:line="240" w:lineRule="auto"/>
              <w:jc w:val="center"/>
              <w:rPr>
                <w:rFonts w:ascii="Arial" w:hAnsi="Arial" w:cs="Arial"/>
                <w:b/>
                <w:bCs/>
                <w:color w:val="2E74B5"/>
                <w:sz w:val="16"/>
                <w:szCs w:val="18"/>
                <w:lang w:eastAsia="pt-BR"/>
              </w:rPr>
            </w:pPr>
            <w:r w:rsidRPr="00087F48">
              <w:rPr>
                <w:rFonts w:ascii="Arial" w:hAnsi="Arial" w:cs="Arial"/>
                <w:b/>
                <w:bCs/>
                <w:color w:val="2E74B5"/>
                <w:sz w:val="16"/>
                <w:szCs w:val="18"/>
                <w:lang w:eastAsia="pt-BR"/>
              </w:rPr>
              <w:t>2021</w:t>
            </w:r>
          </w:p>
        </w:tc>
      </w:tr>
      <w:tr w:rsidR="00227AE1" w:rsidRPr="00393495" w14:paraId="655A685A"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3B32E2B7"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8"/>
                <w:lang w:eastAsia="pt-BR"/>
              </w:rPr>
            </w:pPr>
            <w:r w:rsidRPr="00087F48">
              <w:rPr>
                <w:rFonts w:ascii="Arial" w:hAnsi="Arial" w:cs="Arial"/>
                <w:b/>
                <w:bCs/>
                <w:color w:val="000000"/>
                <w:sz w:val="16"/>
                <w:szCs w:val="18"/>
                <w:lang w:eastAsia="pt-BR"/>
              </w:rPr>
              <w:t>RECEITA OPERACIONAL BRUTA</w:t>
            </w:r>
          </w:p>
        </w:tc>
        <w:tc>
          <w:tcPr>
            <w:tcW w:w="619" w:type="pct"/>
            <w:tcBorders>
              <w:top w:val="nil"/>
              <w:left w:val="nil"/>
              <w:bottom w:val="single" w:sz="8" w:space="0" w:color="8EAADB"/>
              <w:right w:val="nil"/>
            </w:tcBorders>
            <w:shd w:val="clear" w:color="auto" w:fill="auto"/>
            <w:noWrap/>
            <w:vAlign w:val="center"/>
            <w:hideMark/>
          </w:tcPr>
          <w:p w14:paraId="2A306471"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470.052 </w:t>
            </w:r>
          </w:p>
        </w:tc>
        <w:tc>
          <w:tcPr>
            <w:tcW w:w="619" w:type="pct"/>
            <w:tcBorders>
              <w:top w:val="nil"/>
              <w:left w:val="nil"/>
              <w:bottom w:val="single" w:sz="8" w:space="0" w:color="8EAADB"/>
              <w:right w:val="nil"/>
            </w:tcBorders>
            <w:shd w:val="clear" w:color="auto" w:fill="auto"/>
            <w:noWrap/>
            <w:vAlign w:val="center"/>
            <w:hideMark/>
          </w:tcPr>
          <w:p w14:paraId="1D8A145A"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403.502 </w:t>
            </w:r>
          </w:p>
        </w:tc>
        <w:tc>
          <w:tcPr>
            <w:tcW w:w="619" w:type="pct"/>
            <w:tcBorders>
              <w:top w:val="nil"/>
              <w:left w:val="nil"/>
              <w:bottom w:val="single" w:sz="8" w:space="0" w:color="8EAADB"/>
              <w:right w:val="nil"/>
            </w:tcBorders>
            <w:shd w:val="clear" w:color="auto" w:fill="auto"/>
            <w:noWrap/>
            <w:vAlign w:val="center"/>
            <w:hideMark/>
          </w:tcPr>
          <w:p w14:paraId="553B773E"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344.222 </w:t>
            </w:r>
          </w:p>
        </w:tc>
      </w:tr>
      <w:tr w:rsidR="00227AE1" w:rsidRPr="00393495" w14:paraId="6E33E6F3"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586234F0"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Serviços de Comunicação Multimídia</w:t>
            </w:r>
          </w:p>
        </w:tc>
        <w:tc>
          <w:tcPr>
            <w:tcW w:w="619" w:type="pct"/>
            <w:tcBorders>
              <w:top w:val="nil"/>
              <w:left w:val="nil"/>
              <w:bottom w:val="single" w:sz="8" w:space="0" w:color="8EAADB"/>
              <w:right w:val="nil"/>
            </w:tcBorders>
            <w:shd w:val="clear" w:color="auto" w:fill="auto"/>
            <w:noWrap/>
            <w:vAlign w:val="center"/>
            <w:hideMark/>
          </w:tcPr>
          <w:p w14:paraId="4A95B8C6"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356.511 </w:t>
            </w:r>
          </w:p>
        </w:tc>
        <w:tc>
          <w:tcPr>
            <w:tcW w:w="619" w:type="pct"/>
            <w:tcBorders>
              <w:top w:val="nil"/>
              <w:left w:val="nil"/>
              <w:bottom w:val="single" w:sz="8" w:space="0" w:color="8EAADB"/>
              <w:right w:val="nil"/>
            </w:tcBorders>
            <w:shd w:val="clear" w:color="auto" w:fill="auto"/>
            <w:noWrap/>
            <w:vAlign w:val="center"/>
            <w:hideMark/>
          </w:tcPr>
          <w:p w14:paraId="6CDE58BF"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322.614 </w:t>
            </w:r>
          </w:p>
        </w:tc>
        <w:tc>
          <w:tcPr>
            <w:tcW w:w="619" w:type="pct"/>
            <w:tcBorders>
              <w:top w:val="nil"/>
              <w:left w:val="nil"/>
              <w:bottom w:val="single" w:sz="8" w:space="0" w:color="8EAADB"/>
              <w:right w:val="nil"/>
            </w:tcBorders>
            <w:shd w:val="clear" w:color="auto" w:fill="auto"/>
            <w:noWrap/>
            <w:vAlign w:val="center"/>
            <w:hideMark/>
          </w:tcPr>
          <w:p w14:paraId="28FF88E8"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283.497 </w:t>
            </w:r>
          </w:p>
        </w:tc>
      </w:tr>
      <w:tr w:rsidR="00227AE1" w:rsidRPr="00393495" w14:paraId="00824B09"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582FDABB"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Locação de Capacidade Satelital</w:t>
            </w:r>
          </w:p>
        </w:tc>
        <w:tc>
          <w:tcPr>
            <w:tcW w:w="619" w:type="pct"/>
            <w:tcBorders>
              <w:top w:val="nil"/>
              <w:left w:val="nil"/>
              <w:bottom w:val="single" w:sz="8" w:space="0" w:color="8EAADB"/>
              <w:right w:val="nil"/>
            </w:tcBorders>
            <w:shd w:val="clear" w:color="auto" w:fill="auto"/>
            <w:noWrap/>
            <w:vAlign w:val="center"/>
            <w:hideMark/>
          </w:tcPr>
          <w:p w14:paraId="3EE72BD9"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36.481 </w:t>
            </w:r>
          </w:p>
        </w:tc>
        <w:tc>
          <w:tcPr>
            <w:tcW w:w="619" w:type="pct"/>
            <w:tcBorders>
              <w:top w:val="nil"/>
              <w:left w:val="nil"/>
              <w:bottom w:val="single" w:sz="8" w:space="0" w:color="8EAADB"/>
              <w:right w:val="nil"/>
            </w:tcBorders>
            <w:shd w:val="clear" w:color="auto" w:fill="auto"/>
            <w:noWrap/>
            <w:vAlign w:val="center"/>
            <w:hideMark/>
          </w:tcPr>
          <w:p w14:paraId="4589FD99"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36.481 </w:t>
            </w:r>
          </w:p>
        </w:tc>
        <w:tc>
          <w:tcPr>
            <w:tcW w:w="619" w:type="pct"/>
            <w:tcBorders>
              <w:top w:val="nil"/>
              <w:left w:val="nil"/>
              <w:bottom w:val="single" w:sz="8" w:space="0" w:color="8EAADB"/>
              <w:right w:val="nil"/>
            </w:tcBorders>
            <w:shd w:val="clear" w:color="auto" w:fill="auto"/>
            <w:noWrap/>
            <w:vAlign w:val="center"/>
            <w:hideMark/>
          </w:tcPr>
          <w:p w14:paraId="59D2A149"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36.481 </w:t>
            </w:r>
          </w:p>
        </w:tc>
      </w:tr>
      <w:tr w:rsidR="00227AE1" w:rsidRPr="00393495" w14:paraId="59B2E1C5"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21853FC2"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Aluguéis e Locações</w:t>
            </w:r>
          </w:p>
        </w:tc>
        <w:tc>
          <w:tcPr>
            <w:tcW w:w="619" w:type="pct"/>
            <w:tcBorders>
              <w:top w:val="nil"/>
              <w:left w:val="nil"/>
              <w:bottom w:val="single" w:sz="8" w:space="0" w:color="8EAADB"/>
              <w:right w:val="nil"/>
            </w:tcBorders>
            <w:shd w:val="clear" w:color="auto" w:fill="auto"/>
            <w:noWrap/>
            <w:vAlign w:val="center"/>
            <w:hideMark/>
          </w:tcPr>
          <w:p w14:paraId="0FEBC4C1"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24.851 </w:t>
            </w:r>
          </w:p>
        </w:tc>
        <w:tc>
          <w:tcPr>
            <w:tcW w:w="619" w:type="pct"/>
            <w:tcBorders>
              <w:top w:val="nil"/>
              <w:left w:val="nil"/>
              <w:bottom w:val="single" w:sz="8" w:space="0" w:color="8EAADB"/>
              <w:right w:val="nil"/>
            </w:tcBorders>
            <w:shd w:val="clear" w:color="auto" w:fill="auto"/>
            <w:noWrap/>
            <w:vAlign w:val="center"/>
            <w:hideMark/>
          </w:tcPr>
          <w:p w14:paraId="62E7E5D5"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22.056 </w:t>
            </w:r>
          </w:p>
        </w:tc>
        <w:tc>
          <w:tcPr>
            <w:tcW w:w="619" w:type="pct"/>
            <w:tcBorders>
              <w:top w:val="nil"/>
              <w:left w:val="nil"/>
              <w:bottom w:val="single" w:sz="8" w:space="0" w:color="8EAADB"/>
              <w:right w:val="nil"/>
            </w:tcBorders>
            <w:shd w:val="clear" w:color="auto" w:fill="auto"/>
            <w:noWrap/>
            <w:vAlign w:val="center"/>
            <w:hideMark/>
          </w:tcPr>
          <w:p w14:paraId="75690A09"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16.246 </w:t>
            </w:r>
          </w:p>
        </w:tc>
      </w:tr>
      <w:tr w:rsidR="00227AE1" w:rsidRPr="00393495" w14:paraId="7CF5FB1D"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3E8C2EFD"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Compartilhamento de Receita</w:t>
            </w:r>
          </w:p>
        </w:tc>
        <w:tc>
          <w:tcPr>
            <w:tcW w:w="619" w:type="pct"/>
            <w:tcBorders>
              <w:top w:val="nil"/>
              <w:left w:val="nil"/>
              <w:bottom w:val="single" w:sz="8" w:space="0" w:color="8EAADB"/>
              <w:right w:val="nil"/>
            </w:tcBorders>
            <w:shd w:val="clear" w:color="auto" w:fill="auto"/>
            <w:noWrap/>
            <w:vAlign w:val="center"/>
            <w:hideMark/>
          </w:tcPr>
          <w:p w14:paraId="22F37362"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19.640 </w:t>
            </w:r>
          </w:p>
        </w:tc>
        <w:tc>
          <w:tcPr>
            <w:tcW w:w="619" w:type="pct"/>
            <w:tcBorders>
              <w:top w:val="nil"/>
              <w:left w:val="nil"/>
              <w:bottom w:val="single" w:sz="8" w:space="0" w:color="8EAADB"/>
              <w:right w:val="nil"/>
            </w:tcBorders>
            <w:shd w:val="clear" w:color="auto" w:fill="auto"/>
            <w:noWrap/>
            <w:vAlign w:val="center"/>
            <w:hideMark/>
          </w:tcPr>
          <w:p w14:paraId="709E3769"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15.463 </w:t>
            </w:r>
          </w:p>
        </w:tc>
        <w:tc>
          <w:tcPr>
            <w:tcW w:w="619" w:type="pct"/>
            <w:tcBorders>
              <w:top w:val="nil"/>
              <w:left w:val="nil"/>
              <w:bottom w:val="single" w:sz="8" w:space="0" w:color="8EAADB"/>
              <w:right w:val="nil"/>
            </w:tcBorders>
            <w:shd w:val="clear" w:color="auto" w:fill="auto"/>
            <w:noWrap/>
            <w:vAlign w:val="center"/>
            <w:hideMark/>
          </w:tcPr>
          <w:p w14:paraId="00C0BBEC"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7.099 </w:t>
            </w:r>
          </w:p>
        </w:tc>
      </w:tr>
      <w:tr w:rsidR="00227AE1" w:rsidRPr="00393495" w14:paraId="50BA0853"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03AF7217"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Receita de Valor Adicionado</w:t>
            </w:r>
          </w:p>
        </w:tc>
        <w:tc>
          <w:tcPr>
            <w:tcW w:w="619" w:type="pct"/>
            <w:tcBorders>
              <w:top w:val="nil"/>
              <w:left w:val="nil"/>
              <w:bottom w:val="single" w:sz="8" w:space="0" w:color="8EAADB"/>
              <w:right w:val="nil"/>
            </w:tcBorders>
            <w:shd w:val="clear" w:color="auto" w:fill="auto"/>
            <w:noWrap/>
            <w:vAlign w:val="center"/>
            <w:hideMark/>
          </w:tcPr>
          <w:p w14:paraId="7CB8803E"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18.073 </w:t>
            </w:r>
          </w:p>
        </w:tc>
        <w:tc>
          <w:tcPr>
            <w:tcW w:w="619" w:type="pct"/>
            <w:tcBorders>
              <w:top w:val="nil"/>
              <w:left w:val="nil"/>
              <w:bottom w:val="single" w:sz="8" w:space="0" w:color="8EAADB"/>
              <w:right w:val="nil"/>
            </w:tcBorders>
            <w:shd w:val="clear" w:color="auto" w:fill="auto"/>
            <w:noWrap/>
            <w:vAlign w:val="center"/>
            <w:hideMark/>
          </w:tcPr>
          <w:p w14:paraId="4D1CCAF3"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     </w:t>
            </w:r>
          </w:p>
        </w:tc>
        <w:tc>
          <w:tcPr>
            <w:tcW w:w="619" w:type="pct"/>
            <w:tcBorders>
              <w:top w:val="nil"/>
              <w:left w:val="nil"/>
              <w:bottom w:val="single" w:sz="8" w:space="0" w:color="8EAADB"/>
              <w:right w:val="nil"/>
            </w:tcBorders>
            <w:shd w:val="clear" w:color="auto" w:fill="auto"/>
            <w:noWrap/>
            <w:vAlign w:val="center"/>
            <w:hideMark/>
          </w:tcPr>
          <w:p w14:paraId="64A2B301"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 </w:t>
            </w:r>
          </w:p>
        </w:tc>
      </w:tr>
      <w:tr w:rsidR="00227AE1" w:rsidRPr="00393495" w14:paraId="0E34BBBF"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0BDE45A0"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Outras Receitas</w:t>
            </w:r>
          </w:p>
        </w:tc>
        <w:tc>
          <w:tcPr>
            <w:tcW w:w="619" w:type="pct"/>
            <w:tcBorders>
              <w:top w:val="nil"/>
              <w:left w:val="nil"/>
              <w:bottom w:val="single" w:sz="8" w:space="0" w:color="8EAADB"/>
              <w:right w:val="nil"/>
            </w:tcBorders>
            <w:shd w:val="clear" w:color="auto" w:fill="auto"/>
            <w:noWrap/>
            <w:vAlign w:val="center"/>
            <w:hideMark/>
          </w:tcPr>
          <w:p w14:paraId="6921CD0F"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14.496 </w:t>
            </w:r>
          </w:p>
        </w:tc>
        <w:tc>
          <w:tcPr>
            <w:tcW w:w="619" w:type="pct"/>
            <w:tcBorders>
              <w:top w:val="nil"/>
              <w:left w:val="nil"/>
              <w:bottom w:val="single" w:sz="8" w:space="0" w:color="8EAADB"/>
              <w:right w:val="nil"/>
            </w:tcBorders>
            <w:shd w:val="clear" w:color="auto" w:fill="auto"/>
            <w:noWrap/>
            <w:vAlign w:val="center"/>
            <w:hideMark/>
          </w:tcPr>
          <w:p w14:paraId="50C4B2A8"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6.888 </w:t>
            </w:r>
          </w:p>
        </w:tc>
        <w:tc>
          <w:tcPr>
            <w:tcW w:w="619" w:type="pct"/>
            <w:tcBorders>
              <w:top w:val="nil"/>
              <w:left w:val="nil"/>
              <w:bottom w:val="single" w:sz="8" w:space="0" w:color="8EAADB"/>
              <w:right w:val="nil"/>
            </w:tcBorders>
            <w:shd w:val="clear" w:color="auto" w:fill="auto"/>
            <w:noWrap/>
            <w:vAlign w:val="center"/>
            <w:hideMark/>
          </w:tcPr>
          <w:p w14:paraId="2506BAB0"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899 </w:t>
            </w:r>
          </w:p>
        </w:tc>
      </w:tr>
      <w:tr w:rsidR="00227AE1" w:rsidRPr="00393495" w14:paraId="4CA8D242"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18133EA5"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DEDUÇÕES DA RECEITA OPERACIONAL BRUTA </w:t>
            </w:r>
          </w:p>
        </w:tc>
        <w:tc>
          <w:tcPr>
            <w:tcW w:w="619" w:type="pct"/>
            <w:tcBorders>
              <w:top w:val="nil"/>
              <w:left w:val="nil"/>
              <w:bottom w:val="single" w:sz="8" w:space="0" w:color="8EAADB"/>
              <w:right w:val="nil"/>
            </w:tcBorders>
            <w:shd w:val="clear" w:color="auto" w:fill="auto"/>
            <w:noWrap/>
            <w:vAlign w:val="center"/>
            <w:hideMark/>
          </w:tcPr>
          <w:p w14:paraId="3556F285"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(53.212)</w:t>
            </w:r>
          </w:p>
        </w:tc>
        <w:tc>
          <w:tcPr>
            <w:tcW w:w="619" w:type="pct"/>
            <w:tcBorders>
              <w:top w:val="nil"/>
              <w:left w:val="nil"/>
              <w:bottom w:val="single" w:sz="8" w:space="0" w:color="8EAADB"/>
              <w:right w:val="nil"/>
            </w:tcBorders>
            <w:shd w:val="clear" w:color="auto" w:fill="auto"/>
            <w:noWrap/>
            <w:vAlign w:val="center"/>
            <w:hideMark/>
          </w:tcPr>
          <w:p w14:paraId="63A2A318"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(55.662)</w:t>
            </w:r>
          </w:p>
        </w:tc>
        <w:tc>
          <w:tcPr>
            <w:tcW w:w="619" w:type="pct"/>
            <w:tcBorders>
              <w:top w:val="nil"/>
              <w:left w:val="nil"/>
              <w:bottom w:val="single" w:sz="8" w:space="0" w:color="8EAADB"/>
              <w:right w:val="nil"/>
            </w:tcBorders>
            <w:shd w:val="clear" w:color="auto" w:fill="auto"/>
            <w:noWrap/>
            <w:vAlign w:val="center"/>
            <w:hideMark/>
          </w:tcPr>
          <w:p w14:paraId="7157B432"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(58.569)</w:t>
            </w:r>
          </w:p>
        </w:tc>
      </w:tr>
      <w:tr w:rsidR="00227AE1" w:rsidRPr="00393495" w14:paraId="47F45D25"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0396FDA1"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Tributos s/ Receita Operacional Bruta</w:t>
            </w:r>
          </w:p>
        </w:tc>
        <w:tc>
          <w:tcPr>
            <w:tcW w:w="619" w:type="pct"/>
            <w:tcBorders>
              <w:top w:val="nil"/>
              <w:left w:val="nil"/>
              <w:bottom w:val="single" w:sz="8" w:space="0" w:color="8EAADB"/>
              <w:right w:val="nil"/>
            </w:tcBorders>
            <w:shd w:val="clear" w:color="auto" w:fill="auto"/>
            <w:noWrap/>
            <w:vAlign w:val="center"/>
            <w:hideMark/>
          </w:tcPr>
          <w:p w14:paraId="528CC02F"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(51.456)</w:t>
            </w:r>
          </w:p>
        </w:tc>
        <w:tc>
          <w:tcPr>
            <w:tcW w:w="619" w:type="pct"/>
            <w:tcBorders>
              <w:top w:val="nil"/>
              <w:left w:val="nil"/>
              <w:bottom w:val="single" w:sz="8" w:space="0" w:color="8EAADB"/>
              <w:right w:val="nil"/>
            </w:tcBorders>
            <w:shd w:val="clear" w:color="auto" w:fill="auto"/>
            <w:noWrap/>
            <w:vAlign w:val="center"/>
            <w:hideMark/>
          </w:tcPr>
          <w:p w14:paraId="7CB5BBD7"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(55.280)</w:t>
            </w:r>
          </w:p>
        </w:tc>
        <w:tc>
          <w:tcPr>
            <w:tcW w:w="619" w:type="pct"/>
            <w:tcBorders>
              <w:top w:val="nil"/>
              <w:left w:val="nil"/>
              <w:bottom w:val="single" w:sz="8" w:space="0" w:color="8EAADB"/>
              <w:right w:val="nil"/>
            </w:tcBorders>
            <w:shd w:val="clear" w:color="auto" w:fill="auto"/>
            <w:noWrap/>
            <w:vAlign w:val="center"/>
            <w:hideMark/>
          </w:tcPr>
          <w:p w14:paraId="62F40F1B"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(58.161)</w:t>
            </w:r>
          </w:p>
        </w:tc>
      </w:tr>
      <w:tr w:rsidR="00227AE1" w:rsidRPr="00393495" w14:paraId="4A779D12"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04A62239"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Descontos Incondicionais/Outros</w:t>
            </w:r>
          </w:p>
        </w:tc>
        <w:tc>
          <w:tcPr>
            <w:tcW w:w="619" w:type="pct"/>
            <w:tcBorders>
              <w:top w:val="nil"/>
              <w:left w:val="nil"/>
              <w:bottom w:val="single" w:sz="8" w:space="0" w:color="8EAADB"/>
              <w:right w:val="nil"/>
            </w:tcBorders>
            <w:shd w:val="clear" w:color="auto" w:fill="auto"/>
            <w:noWrap/>
            <w:vAlign w:val="center"/>
            <w:hideMark/>
          </w:tcPr>
          <w:p w14:paraId="747B86A6"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(1.756)</w:t>
            </w:r>
          </w:p>
        </w:tc>
        <w:tc>
          <w:tcPr>
            <w:tcW w:w="619" w:type="pct"/>
            <w:tcBorders>
              <w:top w:val="nil"/>
              <w:left w:val="nil"/>
              <w:bottom w:val="single" w:sz="8" w:space="0" w:color="8EAADB"/>
              <w:right w:val="nil"/>
            </w:tcBorders>
            <w:shd w:val="clear" w:color="auto" w:fill="auto"/>
            <w:noWrap/>
            <w:vAlign w:val="center"/>
            <w:hideMark/>
          </w:tcPr>
          <w:p w14:paraId="41E97302"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(382)</w:t>
            </w:r>
          </w:p>
        </w:tc>
        <w:tc>
          <w:tcPr>
            <w:tcW w:w="619" w:type="pct"/>
            <w:tcBorders>
              <w:top w:val="nil"/>
              <w:left w:val="nil"/>
              <w:bottom w:val="single" w:sz="8" w:space="0" w:color="8EAADB"/>
              <w:right w:val="nil"/>
            </w:tcBorders>
            <w:shd w:val="clear" w:color="auto" w:fill="auto"/>
            <w:noWrap/>
            <w:vAlign w:val="center"/>
            <w:hideMark/>
          </w:tcPr>
          <w:p w14:paraId="33EDF25D"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(408)</w:t>
            </w:r>
          </w:p>
        </w:tc>
      </w:tr>
      <w:tr w:rsidR="00227AE1" w:rsidRPr="00393495" w14:paraId="4C9A1571"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69D199B9"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RECEITA OPERACIONAL LÍQUIDA</w:t>
            </w:r>
          </w:p>
        </w:tc>
        <w:tc>
          <w:tcPr>
            <w:tcW w:w="619" w:type="pct"/>
            <w:tcBorders>
              <w:top w:val="nil"/>
              <w:left w:val="nil"/>
              <w:bottom w:val="single" w:sz="8" w:space="0" w:color="8EAADB"/>
              <w:right w:val="nil"/>
            </w:tcBorders>
            <w:shd w:val="clear" w:color="auto" w:fill="auto"/>
            <w:noWrap/>
            <w:vAlign w:val="center"/>
            <w:hideMark/>
          </w:tcPr>
          <w:p w14:paraId="29033469"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416.840 </w:t>
            </w:r>
          </w:p>
        </w:tc>
        <w:tc>
          <w:tcPr>
            <w:tcW w:w="619" w:type="pct"/>
            <w:tcBorders>
              <w:top w:val="nil"/>
              <w:left w:val="nil"/>
              <w:bottom w:val="single" w:sz="8" w:space="0" w:color="8EAADB"/>
              <w:right w:val="nil"/>
            </w:tcBorders>
            <w:shd w:val="clear" w:color="auto" w:fill="auto"/>
            <w:noWrap/>
            <w:vAlign w:val="center"/>
            <w:hideMark/>
          </w:tcPr>
          <w:p w14:paraId="7AFE70B0"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347.840 </w:t>
            </w:r>
          </w:p>
        </w:tc>
        <w:tc>
          <w:tcPr>
            <w:tcW w:w="619" w:type="pct"/>
            <w:tcBorders>
              <w:top w:val="nil"/>
              <w:left w:val="nil"/>
              <w:bottom w:val="single" w:sz="8" w:space="0" w:color="8EAADB"/>
              <w:right w:val="nil"/>
            </w:tcBorders>
            <w:shd w:val="clear" w:color="auto" w:fill="auto"/>
            <w:noWrap/>
            <w:vAlign w:val="center"/>
            <w:hideMark/>
          </w:tcPr>
          <w:p w14:paraId="0E361A42"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285.653 </w:t>
            </w:r>
          </w:p>
        </w:tc>
      </w:tr>
      <w:tr w:rsidR="00227AE1" w:rsidRPr="00393495" w14:paraId="07A9B681"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4E35641F"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RECEITAS/(CUSTOS/DESPESAS) OPERACIONAIS</w:t>
            </w:r>
          </w:p>
        </w:tc>
        <w:tc>
          <w:tcPr>
            <w:tcW w:w="619" w:type="pct"/>
            <w:tcBorders>
              <w:top w:val="nil"/>
              <w:left w:val="nil"/>
              <w:bottom w:val="single" w:sz="8" w:space="0" w:color="8EAADB"/>
              <w:right w:val="nil"/>
            </w:tcBorders>
            <w:shd w:val="clear" w:color="auto" w:fill="auto"/>
            <w:noWrap/>
            <w:vAlign w:val="center"/>
            <w:hideMark/>
          </w:tcPr>
          <w:p w14:paraId="714ECB75"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(230.707)</w:t>
            </w:r>
          </w:p>
        </w:tc>
        <w:tc>
          <w:tcPr>
            <w:tcW w:w="619" w:type="pct"/>
            <w:tcBorders>
              <w:top w:val="nil"/>
              <w:left w:val="nil"/>
              <w:bottom w:val="single" w:sz="8" w:space="0" w:color="8EAADB"/>
              <w:right w:val="nil"/>
            </w:tcBorders>
            <w:shd w:val="clear" w:color="auto" w:fill="auto"/>
            <w:noWrap/>
            <w:vAlign w:val="center"/>
            <w:hideMark/>
          </w:tcPr>
          <w:p w14:paraId="76E02B4E"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(174.064)</w:t>
            </w:r>
          </w:p>
        </w:tc>
        <w:tc>
          <w:tcPr>
            <w:tcW w:w="619" w:type="pct"/>
            <w:tcBorders>
              <w:top w:val="nil"/>
              <w:left w:val="nil"/>
              <w:bottom w:val="single" w:sz="8" w:space="0" w:color="8EAADB"/>
              <w:right w:val="nil"/>
            </w:tcBorders>
            <w:shd w:val="clear" w:color="auto" w:fill="auto"/>
            <w:noWrap/>
            <w:vAlign w:val="center"/>
            <w:hideMark/>
          </w:tcPr>
          <w:p w14:paraId="10EA4D72"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(132.048)</w:t>
            </w:r>
          </w:p>
        </w:tc>
      </w:tr>
      <w:tr w:rsidR="00227AE1" w:rsidRPr="00393495" w14:paraId="50282B4E"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14CB2D29"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Serviços de Terceiros</w:t>
            </w:r>
          </w:p>
        </w:tc>
        <w:tc>
          <w:tcPr>
            <w:tcW w:w="619" w:type="pct"/>
            <w:tcBorders>
              <w:top w:val="nil"/>
              <w:left w:val="nil"/>
              <w:bottom w:val="single" w:sz="8" w:space="0" w:color="8EAADB"/>
              <w:right w:val="nil"/>
            </w:tcBorders>
            <w:shd w:val="clear" w:color="auto" w:fill="auto"/>
            <w:noWrap/>
            <w:vAlign w:val="center"/>
            <w:hideMark/>
          </w:tcPr>
          <w:p w14:paraId="51903D82"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(159.570)</w:t>
            </w:r>
          </w:p>
        </w:tc>
        <w:tc>
          <w:tcPr>
            <w:tcW w:w="619" w:type="pct"/>
            <w:tcBorders>
              <w:top w:val="nil"/>
              <w:left w:val="nil"/>
              <w:bottom w:val="single" w:sz="8" w:space="0" w:color="8EAADB"/>
              <w:right w:val="nil"/>
            </w:tcBorders>
            <w:shd w:val="clear" w:color="auto" w:fill="auto"/>
            <w:noWrap/>
            <w:vAlign w:val="center"/>
            <w:hideMark/>
          </w:tcPr>
          <w:p w14:paraId="2594863C"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(109.165)</w:t>
            </w:r>
          </w:p>
        </w:tc>
        <w:tc>
          <w:tcPr>
            <w:tcW w:w="619" w:type="pct"/>
            <w:tcBorders>
              <w:top w:val="nil"/>
              <w:left w:val="nil"/>
              <w:bottom w:val="single" w:sz="8" w:space="0" w:color="8EAADB"/>
              <w:right w:val="nil"/>
            </w:tcBorders>
            <w:shd w:val="clear" w:color="auto" w:fill="auto"/>
            <w:noWrap/>
            <w:vAlign w:val="center"/>
            <w:hideMark/>
          </w:tcPr>
          <w:p w14:paraId="4DEE75C0"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(84.088)</w:t>
            </w:r>
          </w:p>
        </w:tc>
      </w:tr>
      <w:tr w:rsidR="00227AE1" w:rsidRPr="00393495" w14:paraId="7932646A"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30122009"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Meios de Conexão e Transmissão</w:t>
            </w:r>
          </w:p>
        </w:tc>
        <w:tc>
          <w:tcPr>
            <w:tcW w:w="619" w:type="pct"/>
            <w:tcBorders>
              <w:top w:val="nil"/>
              <w:left w:val="nil"/>
              <w:bottom w:val="single" w:sz="8" w:space="0" w:color="8EAADB"/>
              <w:right w:val="nil"/>
            </w:tcBorders>
            <w:shd w:val="clear" w:color="auto" w:fill="auto"/>
            <w:noWrap/>
            <w:vAlign w:val="center"/>
            <w:hideMark/>
          </w:tcPr>
          <w:p w14:paraId="4263C4CC"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(136.851)</w:t>
            </w:r>
          </w:p>
        </w:tc>
        <w:tc>
          <w:tcPr>
            <w:tcW w:w="619" w:type="pct"/>
            <w:tcBorders>
              <w:top w:val="nil"/>
              <w:left w:val="nil"/>
              <w:bottom w:val="single" w:sz="8" w:space="0" w:color="8EAADB"/>
              <w:right w:val="nil"/>
            </w:tcBorders>
            <w:shd w:val="clear" w:color="auto" w:fill="auto"/>
            <w:noWrap/>
            <w:vAlign w:val="center"/>
            <w:hideMark/>
          </w:tcPr>
          <w:p w14:paraId="0881A38C"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(127.727)</w:t>
            </w:r>
          </w:p>
        </w:tc>
        <w:tc>
          <w:tcPr>
            <w:tcW w:w="619" w:type="pct"/>
            <w:tcBorders>
              <w:top w:val="nil"/>
              <w:left w:val="nil"/>
              <w:bottom w:val="single" w:sz="8" w:space="0" w:color="8EAADB"/>
              <w:right w:val="nil"/>
            </w:tcBorders>
            <w:shd w:val="clear" w:color="auto" w:fill="auto"/>
            <w:noWrap/>
            <w:vAlign w:val="center"/>
            <w:hideMark/>
          </w:tcPr>
          <w:p w14:paraId="706BF8BD"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(116.669)</w:t>
            </w:r>
          </w:p>
        </w:tc>
      </w:tr>
      <w:tr w:rsidR="00227AE1" w:rsidRPr="00393495" w14:paraId="0E4BDD39"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1D433D28"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Pessoal </w:t>
            </w:r>
          </w:p>
        </w:tc>
        <w:tc>
          <w:tcPr>
            <w:tcW w:w="619" w:type="pct"/>
            <w:tcBorders>
              <w:top w:val="nil"/>
              <w:left w:val="nil"/>
              <w:bottom w:val="single" w:sz="8" w:space="0" w:color="8EAADB"/>
              <w:right w:val="nil"/>
            </w:tcBorders>
            <w:shd w:val="clear" w:color="auto" w:fill="auto"/>
            <w:noWrap/>
            <w:vAlign w:val="center"/>
            <w:hideMark/>
          </w:tcPr>
          <w:p w14:paraId="378DEABE"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(106.908)</w:t>
            </w:r>
          </w:p>
        </w:tc>
        <w:tc>
          <w:tcPr>
            <w:tcW w:w="619" w:type="pct"/>
            <w:tcBorders>
              <w:top w:val="nil"/>
              <w:left w:val="nil"/>
              <w:bottom w:val="single" w:sz="8" w:space="0" w:color="8EAADB"/>
              <w:right w:val="nil"/>
            </w:tcBorders>
            <w:shd w:val="clear" w:color="auto" w:fill="auto"/>
            <w:noWrap/>
            <w:vAlign w:val="center"/>
            <w:hideMark/>
          </w:tcPr>
          <w:p w14:paraId="5A73523D"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(97.129)</w:t>
            </w:r>
          </w:p>
        </w:tc>
        <w:tc>
          <w:tcPr>
            <w:tcW w:w="619" w:type="pct"/>
            <w:tcBorders>
              <w:top w:val="nil"/>
              <w:left w:val="nil"/>
              <w:bottom w:val="single" w:sz="8" w:space="0" w:color="8EAADB"/>
              <w:right w:val="nil"/>
            </w:tcBorders>
            <w:shd w:val="clear" w:color="auto" w:fill="auto"/>
            <w:noWrap/>
            <w:vAlign w:val="center"/>
            <w:hideMark/>
          </w:tcPr>
          <w:p w14:paraId="1526D87D"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(85.729)</w:t>
            </w:r>
          </w:p>
        </w:tc>
      </w:tr>
      <w:tr w:rsidR="00227AE1" w:rsidRPr="00393495" w14:paraId="6CF1B239"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0F7294D3"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Aluguéis, Locações e Seguros</w:t>
            </w:r>
          </w:p>
        </w:tc>
        <w:tc>
          <w:tcPr>
            <w:tcW w:w="619" w:type="pct"/>
            <w:tcBorders>
              <w:top w:val="nil"/>
              <w:left w:val="nil"/>
              <w:bottom w:val="single" w:sz="8" w:space="0" w:color="8EAADB"/>
              <w:right w:val="nil"/>
            </w:tcBorders>
            <w:shd w:val="clear" w:color="auto" w:fill="auto"/>
            <w:noWrap/>
            <w:vAlign w:val="center"/>
            <w:hideMark/>
          </w:tcPr>
          <w:p w14:paraId="39C41036"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(50.936)</w:t>
            </w:r>
          </w:p>
        </w:tc>
        <w:tc>
          <w:tcPr>
            <w:tcW w:w="619" w:type="pct"/>
            <w:tcBorders>
              <w:top w:val="nil"/>
              <w:left w:val="nil"/>
              <w:bottom w:val="single" w:sz="8" w:space="0" w:color="8EAADB"/>
              <w:right w:val="nil"/>
            </w:tcBorders>
            <w:shd w:val="clear" w:color="auto" w:fill="auto"/>
            <w:noWrap/>
            <w:vAlign w:val="center"/>
            <w:hideMark/>
          </w:tcPr>
          <w:p w14:paraId="31AEABE1"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(48.463)</w:t>
            </w:r>
          </w:p>
        </w:tc>
        <w:tc>
          <w:tcPr>
            <w:tcW w:w="619" w:type="pct"/>
            <w:tcBorders>
              <w:top w:val="nil"/>
              <w:left w:val="nil"/>
              <w:bottom w:val="single" w:sz="8" w:space="0" w:color="8EAADB"/>
              <w:right w:val="nil"/>
            </w:tcBorders>
            <w:shd w:val="clear" w:color="auto" w:fill="auto"/>
            <w:noWrap/>
            <w:vAlign w:val="center"/>
            <w:hideMark/>
          </w:tcPr>
          <w:p w14:paraId="15049C6D"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(48.186)</w:t>
            </w:r>
          </w:p>
        </w:tc>
      </w:tr>
      <w:tr w:rsidR="00227AE1" w:rsidRPr="00393495" w14:paraId="60DC5CF7"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0F4F307E"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Compartilhamento de Instalações</w:t>
            </w:r>
          </w:p>
        </w:tc>
        <w:tc>
          <w:tcPr>
            <w:tcW w:w="619" w:type="pct"/>
            <w:tcBorders>
              <w:top w:val="nil"/>
              <w:left w:val="nil"/>
              <w:bottom w:val="single" w:sz="8" w:space="0" w:color="8EAADB"/>
              <w:right w:val="nil"/>
            </w:tcBorders>
            <w:shd w:val="clear" w:color="auto" w:fill="auto"/>
            <w:noWrap/>
            <w:vAlign w:val="center"/>
            <w:hideMark/>
          </w:tcPr>
          <w:p w14:paraId="6C0407F2"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(5.379)</w:t>
            </w:r>
          </w:p>
        </w:tc>
        <w:tc>
          <w:tcPr>
            <w:tcW w:w="619" w:type="pct"/>
            <w:tcBorders>
              <w:top w:val="nil"/>
              <w:left w:val="nil"/>
              <w:bottom w:val="single" w:sz="8" w:space="0" w:color="8EAADB"/>
              <w:right w:val="nil"/>
            </w:tcBorders>
            <w:shd w:val="clear" w:color="auto" w:fill="auto"/>
            <w:noWrap/>
            <w:vAlign w:val="center"/>
            <w:hideMark/>
          </w:tcPr>
          <w:p w14:paraId="71B1B543"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(4.345)</w:t>
            </w:r>
          </w:p>
        </w:tc>
        <w:tc>
          <w:tcPr>
            <w:tcW w:w="619" w:type="pct"/>
            <w:tcBorders>
              <w:top w:val="nil"/>
              <w:left w:val="nil"/>
              <w:bottom w:val="single" w:sz="8" w:space="0" w:color="8EAADB"/>
              <w:right w:val="nil"/>
            </w:tcBorders>
            <w:shd w:val="clear" w:color="auto" w:fill="auto"/>
            <w:noWrap/>
            <w:vAlign w:val="center"/>
            <w:hideMark/>
          </w:tcPr>
          <w:p w14:paraId="4983D056"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(3.538)</w:t>
            </w:r>
          </w:p>
        </w:tc>
      </w:tr>
      <w:tr w:rsidR="00227AE1" w:rsidRPr="00393495" w14:paraId="0197F1D4"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00E754E3"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lastRenderedPageBreak/>
              <w:t xml:space="preserve">    Tributos</w:t>
            </w:r>
          </w:p>
        </w:tc>
        <w:tc>
          <w:tcPr>
            <w:tcW w:w="619" w:type="pct"/>
            <w:tcBorders>
              <w:top w:val="nil"/>
              <w:left w:val="nil"/>
              <w:bottom w:val="single" w:sz="8" w:space="0" w:color="8EAADB"/>
              <w:right w:val="nil"/>
            </w:tcBorders>
            <w:shd w:val="clear" w:color="auto" w:fill="auto"/>
            <w:noWrap/>
            <w:vAlign w:val="center"/>
            <w:hideMark/>
          </w:tcPr>
          <w:p w14:paraId="45B0442F"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(5.296)</w:t>
            </w:r>
          </w:p>
        </w:tc>
        <w:tc>
          <w:tcPr>
            <w:tcW w:w="619" w:type="pct"/>
            <w:tcBorders>
              <w:top w:val="nil"/>
              <w:left w:val="nil"/>
              <w:bottom w:val="single" w:sz="8" w:space="0" w:color="8EAADB"/>
              <w:right w:val="nil"/>
            </w:tcBorders>
            <w:shd w:val="clear" w:color="auto" w:fill="auto"/>
            <w:noWrap/>
            <w:vAlign w:val="center"/>
            <w:hideMark/>
          </w:tcPr>
          <w:p w14:paraId="16349000"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(4.791)</w:t>
            </w:r>
          </w:p>
        </w:tc>
        <w:tc>
          <w:tcPr>
            <w:tcW w:w="619" w:type="pct"/>
            <w:tcBorders>
              <w:top w:val="nil"/>
              <w:left w:val="nil"/>
              <w:bottom w:val="single" w:sz="8" w:space="0" w:color="8EAADB"/>
              <w:right w:val="nil"/>
            </w:tcBorders>
            <w:shd w:val="clear" w:color="auto" w:fill="auto"/>
            <w:noWrap/>
            <w:vAlign w:val="center"/>
            <w:hideMark/>
          </w:tcPr>
          <w:p w14:paraId="79851588"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(5.804)</w:t>
            </w:r>
          </w:p>
        </w:tc>
      </w:tr>
      <w:tr w:rsidR="00227AE1" w:rsidRPr="00393495" w14:paraId="70448506"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3D250963"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Equivalência Patrimonial</w:t>
            </w:r>
          </w:p>
        </w:tc>
        <w:tc>
          <w:tcPr>
            <w:tcW w:w="619" w:type="pct"/>
            <w:tcBorders>
              <w:top w:val="nil"/>
              <w:left w:val="nil"/>
              <w:bottom w:val="single" w:sz="8" w:space="0" w:color="8EAADB"/>
              <w:right w:val="nil"/>
            </w:tcBorders>
            <w:shd w:val="clear" w:color="auto" w:fill="auto"/>
            <w:noWrap/>
            <w:vAlign w:val="center"/>
            <w:hideMark/>
          </w:tcPr>
          <w:p w14:paraId="50E5FDB9"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(2.254)</w:t>
            </w:r>
          </w:p>
        </w:tc>
        <w:tc>
          <w:tcPr>
            <w:tcW w:w="619" w:type="pct"/>
            <w:tcBorders>
              <w:top w:val="nil"/>
              <w:left w:val="nil"/>
              <w:bottom w:val="single" w:sz="8" w:space="0" w:color="8EAADB"/>
              <w:right w:val="nil"/>
            </w:tcBorders>
            <w:shd w:val="clear" w:color="auto" w:fill="auto"/>
            <w:noWrap/>
            <w:vAlign w:val="center"/>
            <w:hideMark/>
          </w:tcPr>
          <w:p w14:paraId="22437096"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(6.500)</w:t>
            </w:r>
          </w:p>
        </w:tc>
        <w:tc>
          <w:tcPr>
            <w:tcW w:w="619" w:type="pct"/>
            <w:tcBorders>
              <w:top w:val="nil"/>
              <w:left w:val="nil"/>
              <w:bottom w:val="single" w:sz="8" w:space="0" w:color="8EAADB"/>
              <w:right w:val="nil"/>
            </w:tcBorders>
            <w:shd w:val="clear" w:color="auto" w:fill="auto"/>
            <w:noWrap/>
            <w:vAlign w:val="center"/>
            <w:hideMark/>
          </w:tcPr>
          <w:p w14:paraId="1042DDD2"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(6.273)</w:t>
            </w:r>
          </w:p>
        </w:tc>
      </w:tr>
      <w:tr w:rsidR="00227AE1" w:rsidRPr="00393495" w14:paraId="15B4C51A"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0FB018D1"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Material </w:t>
            </w:r>
          </w:p>
        </w:tc>
        <w:tc>
          <w:tcPr>
            <w:tcW w:w="619" w:type="pct"/>
            <w:tcBorders>
              <w:top w:val="nil"/>
              <w:left w:val="nil"/>
              <w:bottom w:val="single" w:sz="8" w:space="0" w:color="8EAADB"/>
              <w:right w:val="nil"/>
            </w:tcBorders>
            <w:shd w:val="clear" w:color="auto" w:fill="auto"/>
            <w:noWrap/>
            <w:vAlign w:val="center"/>
            <w:hideMark/>
          </w:tcPr>
          <w:p w14:paraId="71B4B11C"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(2.181)</w:t>
            </w:r>
          </w:p>
        </w:tc>
        <w:tc>
          <w:tcPr>
            <w:tcW w:w="619" w:type="pct"/>
            <w:tcBorders>
              <w:top w:val="nil"/>
              <w:left w:val="nil"/>
              <w:bottom w:val="single" w:sz="8" w:space="0" w:color="8EAADB"/>
              <w:right w:val="nil"/>
            </w:tcBorders>
            <w:shd w:val="clear" w:color="auto" w:fill="auto"/>
            <w:noWrap/>
            <w:vAlign w:val="center"/>
            <w:hideMark/>
          </w:tcPr>
          <w:p w14:paraId="3BFB7F4D"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(2.018)</w:t>
            </w:r>
          </w:p>
        </w:tc>
        <w:tc>
          <w:tcPr>
            <w:tcW w:w="619" w:type="pct"/>
            <w:tcBorders>
              <w:top w:val="nil"/>
              <w:left w:val="nil"/>
              <w:bottom w:val="single" w:sz="8" w:space="0" w:color="8EAADB"/>
              <w:right w:val="nil"/>
            </w:tcBorders>
            <w:shd w:val="clear" w:color="auto" w:fill="auto"/>
            <w:noWrap/>
            <w:vAlign w:val="center"/>
            <w:hideMark/>
          </w:tcPr>
          <w:p w14:paraId="3A4F77D4"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(3.903)</w:t>
            </w:r>
          </w:p>
        </w:tc>
      </w:tr>
      <w:tr w:rsidR="00227AE1" w:rsidRPr="00393495" w14:paraId="1CFA13AB"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52FA3C0E"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Perda Estimada com Crédito de Liquidação Duvidosa</w:t>
            </w:r>
          </w:p>
        </w:tc>
        <w:tc>
          <w:tcPr>
            <w:tcW w:w="619" w:type="pct"/>
            <w:tcBorders>
              <w:top w:val="nil"/>
              <w:left w:val="nil"/>
              <w:bottom w:val="single" w:sz="8" w:space="0" w:color="8EAADB"/>
              <w:right w:val="nil"/>
            </w:tcBorders>
            <w:shd w:val="clear" w:color="auto" w:fill="auto"/>
            <w:noWrap/>
            <w:vAlign w:val="center"/>
            <w:hideMark/>
          </w:tcPr>
          <w:p w14:paraId="64DEB51C"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(1.314)</w:t>
            </w:r>
          </w:p>
        </w:tc>
        <w:tc>
          <w:tcPr>
            <w:tcW w:w="619" w:type="pct"/>
            <w:tcBorders>
              <w:top w:val="nil"/>
              <w:left w:val="nil"/>
              <w:bottom w:val="single" w:sz="8" w:space="0" w:color="8EAADB"/>
              <w:right w:val="nil"/>
            </w:tcBorders>
            <w:shd w:val="clear" w:color="auto" w:fill="auto"/>
            <w:noWrap/>
            <w:vAlign w:val="center"/>
            <w:hideMark/>
          </w:tcPr>
          <w:p w14:paraId="4ED6CCB6"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1.042 </w:t>
            </w:r>
          </w:p>
        </w:tc>
        <w:tc>
          <w:tcPr>
            <w:tcW w:w="619" w:type="pct"/>
            <w:tcBorders>
              <w:top w:val="nil"/>
              <w:left w:val="nil"/>
              <w:bottom w:val="single" w:sz="8" w:space="0" w:color="8EAADB"/>
              <w:right w:val="nil"/>
            </w:tcBorders>
            <w:shd w:val="clear" w:color="auto" w:fill="auto"/>
            <w:noWrap/>
            <w:vAlign w:val="center"/>
            <w:hideMark/>
          </w:tcPr>
          <w:p w14:paraId="21783E48"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515 </w:t>
            </w:r>
          </w:p>
        </w:tc>
      </w:tr>
      <w:tr w:rsidR="00227AE1" w:rsidRPr="00393495" w14:paraId="6B1437F5"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40D153D9"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Programa de Indenização por Serviços Prestados (PISP)</w:t>
            </w:r>
          </w:p>
        </w:tc>
        <w:tc>
          <w:tcPr>
            <w:tcW w:w="619" w:type="pct"/>
            <w:tcBorders>
              <w:top w:val="nil"/>
              <w:left w:val="nil"/>
              <w:bottom w:val="single" w:sz="8" w:space="0" w:color="8EAADB"/>
              <w:right w:val="nil"/>
            </w:tcBorders>
            <w:shd w:val="clear" w:color="auto" w:fill="auto"/>
            <w:noWrap/>
            <w:vAlign w:val="center"/>
            <w:hideMark/>
          </w:tcPr>
          <w:p w14:paraId="398A85AC"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(1.231)</w:t>
            </w:r>
          </w:p>
        </w:tc>
        <w:tc>
          <w:tcPr>
            <w:tcW w:w="619" w:type="pct"/>
            <w:tcBorders>
              <w:top w:val="nil"/>
              <w:left w:val="nil"/>
              <w:bottom w:val="single" w:sz="8" w:space="0" w:color="8EAADB"/>
              <w:right w:val="nil"/>
            </w:tcBorders>
            <w:shd w:val="clear" w:color="auto" w:fill="auto"/>
            <w:noWrap/>
            <w:vAlign w:val="center"/>
            <w:hideMark/>
          </w:tcPr>
          <w:p w14:paraId="1236E929"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(1.361)</w:t>
            </w:r>
          </w:p>
        </w:tc>
        <w:tc>
          <w:tcPr>
            <w:tcW w:w="619" w:type="pct"/>
            <w:tcBorders>
              <w:top w:val="nil"/>
              <w:left w:val="nil"/>
              <w:bottom w:val="single" w:sz="8" w:space="0" w:color="8EAADB"/>
              <w:right w:val="nil"/>
            </w:tcBorders>
            <w:shd w:val="clear" w:color="auto" w:fill="auto"/>
            <w:noWrap/>
            <w:vAlign w:val="center"/>
            <w:hideMark/>
          </w:tcPr>
          <w:p w14:paraId="5F9B7CEB"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(644)</w:t>
            </w:r>
          </w:p>
        </w:tc>
      </w:tr>
      <w:tr w:rsidR="00227AE1" w:rsidRPr="00393495" w14:paraId="527CBE18"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01B3A420"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Outras Despesas Operacionais</w:t>
            </w:r>
          </w:p>
        </w:tc>
        <w:tc>
          <w:tcPr>
            <w:tcW w:w="619" w:type="pct"/>
            <w:tcBorders>
              <w:top w:val="nil"/>
              <w:left w:val="nil"/>
              <w:bottom w:val="single" w:sz="8" w:space="0" w:color="8EAADB"/>
              <w:right w:val="nil"/>
            </w:tcBorders>
            <w:shd w:val="clear" w:color="auto" w:fill="auto"/>
            <w:noWrap/>
            <w:vAlign w:val="center"/>
            <w:hideMark/>
          </w:tcPr>
          <w:p w14:paraId="63AC0550"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(55.659)</w:t>
            </w:r>
          </w:p>
        </w:tc>
        <w:tc>
          <w:tcPr>
            <w:tcW w:w="619" w:type="pct"/>
            <w:tcBorders>
              <w:top w:val="nil"/>
              <w:left w:val="nil"/>
              <w:bottom w:val="single" w:sz="8" w:space="0" w:color="8EAADB"/>
              <w:right w:val="nil"/>
            </w:tcBorders>
            <w:shd w:val="clear" w:color="auto" w:fill="auto"/>
            <w:noWrap/>
            <w:vAlign w:val="center"/>
            <w:hideMark/>
          </w:tcPr>
          <w:p w14:paraId="5954B5EA"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(29.062)</w:t>
            </w:r>
          </w:p>
        </w:tc>
        <w:tc>
          <w:tcPr>
            <w:tcW w:w="619" w:type="pct"/>
            <w:tcBorders>
              <w:top w:val="nil"/>
              <w:left w:val="nil"/>
              <w:bottom w:val="single" w:sz="8" w:space="0" w:color="8EAADB"/>
              <w:right w:val="nil"/>
            </w:tcBorders>
            <w:shd w:val="clear" w:color="auto" w:fill="auto"/>
            <w:noWrap/>
            <w:vAlign w:val="center"/>
            <w:hideMark/>
          </w:tcPr>
          <w:p w14:paraId="21D3B969"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(20.792)</w:t>
            </w:r>
          </w:p>
        </w:tc>
      </w:tr>
      <w:tr w:rsidR="00227AE1" w:rsidRPr="00393495" w14:paraId="2E881366"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16958D77"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Outras Receitas Operacionais</w:t>
            </w:r>
          </w:p>
        </w:tc>
        <w:tc>
          <w:tcPr>
            <w:tcW w:w="619" w:type="pct"/>
            <w:tcBorders>
              <w:top w:val="nil"/>
              <w:left w:val="nil"/>
              <w:bottom w:val="single" w:sz="8" w:space="0" w:color="8EAADB"/>
              <w:right w:val="nil"/>
            </w:tcBorders>
            <w:shd w:val="clear" w:color="auto" w:fill="auto"/>
            <w:noWrap/>
            <w:vAlign w:val="center"/>
            <w:hideMark/>
          </w:tcPr>
          <w:p w14:paraId="0260D38B"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296.872 </w:t>
            </w:r>
          </w:p>
        </w:tc>
        <w:tc>
          <w:tcPr>
            <w:tcW w:w="619" w:type="pct"/>
            <w:tcBorders>
              <w:top w:val="nil"/>
              <w:left w:val="nil"/>
              <w:bottom w:val="single" w:sz="8" w:space="0" w:color="8EAADB"/>
              <w:right w:val="nil"/>
            </w:tcBorders>
            <w:shd w:val="clear" w:color="auto" w:fill="auto"/>
            <w:noWrap/>
            <w:vAlign w:val="center"/>
            <w:hideMark/>
          </w:tcPr>
          <w:p w14:paraId="57A02FA5"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255.455 </w:t>
            </w:r>
          </w:p>
        </w:tc>
        <w:tc>
          <w:tcPr>
            <w:tcW w:w="619" w:type="pct"/>
            <w:tcBorders>
              <w:top w:val="nil"/>
              <w:left w:val="nil"/>
              <w:bottom w:val="single" w:sz="8" w:space="0" w:color="8EAADB"/>
              <w:right w:val="nil"/>
            </w:tcBorders>
            <w:shd w:val="clear" w:color="auto" w:fill="auto"/>
            <w:noWrap/>
            <w:vAlign w:val="center"/>
            <w:hideMark/>
          </w:tcPr>
          <w:p w14:paraId="3750B6F8"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243.063 </w:t>
            </w:r>
          </w:p>
        </w:tc>
      </w:tr>
      <w:tr w:rsidR="00227AE1" w:rsidRPr="00393495" w14:paraId="4C422F6B"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355CF896"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EBITDA</w:t>
            </w:r>
          </w:p>
        </w:tc>
        <w:tc>
          <w:tcPr>
            <w:tcW w:w="619" w:type="pct"/>
            <w:tcBorders>
              <w:top w:val="nil"/>
              <w:left w:val="nil"/>
              <w:bottom w:val="single" w:sz="8" w:space="0" w:color="8EAADB"/>
              <w:right w:val="nil"/>
            </w:tcBorders>
            <w:shd w:val="clear" w:color="auto" w:fill="auto"/>
            <w:noWrap/>
            <w:vAlign w:val="center"/>
            <w:hideMark/>
          </w:tcPr>
          <w:p w14:paraId="4AB965BD"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186.133 </w:t>
            </w:r>
          </w:p>
        </w:tc>
        <w:tc>
          <w:tcPr>
            <w:tcW w:w="619" w:type="pct"/>
            <w:tcBorders>
              <w:top w:val="nil"/>
              <w:left w:val="nil"/>
              <w:bottom w:val="single" w:sz="8" w:space="0" w:color="8EAADB"/>
              <w:right w:val="nil"/>
            </w:tcBorders>
            <w:shd w:val="clear" w:color="auto" w:fill="auto"/>
            <w:noWrap/>
            <w:vAlign w:val="center"/>
            <w:hideMark/>
          </w:tcPr>
          <w:p w14:paraId="4580D5EE"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173.776 </w:t>
            </w:r>
          </w:p>
        </w:tc>
        <w:tc>
          <w:tcPr>
            <w:tcW w:w="619" w:type="pct"/>
            <w:tcBorders>
              <w:top w:val="nil"/>
              <w:left w:val="nil"/>
              <w:bottom w:val="single" w:sz="8" w:space="0" w:color="8EAADB"/>
              <w:right w:val="nil"/>
            </w:tcBorders>
            <w:shd w:val="clear" w:color="auto" w:fill="auto"/>
            <w:noWrap/>
            <w:vAlign w:val="center"/>
            <w:hideMark/>
          </w:tcPr>
          <w:p w14:paraId="7A9BF63B"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153.605 </w:t>
            </w:r>
          </w:p>
        </w:tc>
      </w:tr>
      <w:tr w:rsidR="00227AE1" w:rsidRPr="00393495" w14:paraId="74AD9FAB"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2221EA9F" w14:textId="77777777" w:rsidR="00227AE1" w:rsidRPr="00087F48" w:rsidRDefault="00227AE1" w:rsidP="00227AE1">
            <w:pPr>
              <w:tabs>
                <w:tab w:val="clear" w:pos="851"/>
              </w:tabs>
              <w:spacing w:before="0" w:after="0" w:line="240" w:lineRule="auto"/>
              <w:jc w:val="left"/>
              <w:rPr>
                <w:rFonts w:ascii="Arial" w:hAnsi="Arial" w:cs="Arial"/>
                <w:b/>
                <w:bCs/>
                <w:i/>
                <w:iCs/>
                <w:color w:val="000000"/>
                <w:sz w:val="16"/>
                <w:szCs w:val="18"/>
                <w:lang w:eastAsia="pt-BR"/>
              </w:rPr>
            </w:pPr>
            <w:r w:rsidRPr="00087F48">
              <w:rPr>
                <w:rFonts w:ascii="Arial" w:hAnsi="Arial" w:cs="Arial"/>
                <w:b/>
                <w:bCs/>
                <w:i/>
                <w:iCs/>
                <w:color w:val="000000"/>
                <w:sz w:val="16"/>
                <w:szCs w:val="18"/>
                <w:lang w:eastAsia="pt-BR"/>
              </w:rPr>
              <w:t xml:space="preserve">    Margem EBITDA</w:t>
            </w:r>
          </w:p>
        </w:tc>
        <w:tc>
          <w:tcPr>
            <w:tcW w:w="619" w:type="pct"/>
            <w:tcBorders>
              <w:top w:val="nil"/>
              <w:left w:val="nil"/>
              <w:bottom w:val="single" w:sz="8" w:space="0" w:color="8EAADB"/>
              <w:right w:val="nil"/>
            </w:tcBorders>
            <w:shd w:val="clear" w:color="auto" w:fill="auto"/>
            <w:noWrap/>
            <w:vAlign w:val="center"/>
            <w:hideMark/>
          </w:tcPr>
          <w:p w14:paraId="0A32ABEF" w14:textId="77777777" w:rsidR="00227AE1" w:rsidRPr="00087F48" w:rsidRDefault="00227AE1" w:rsidP="00227AE1">
            <w:pPr>
              <w:tabs>
                <w:tab w:val="clear" w:pos="851"/>
              </w:tabs>
              <w:spacing w:before="0" w:after="0" w:line="240" w:lineRule="auto"/>
              <w:jc w:val="right"/>
              <w:rPr>
                <w:rFonts w:ascii="Arial" w:hAnsi="Arial" w:cs="Arial"/>
                <w:b/>
                <w:bCs/>
                <w:i/>
                <w:iCs/>
                <w:color w:val="000000"/>
                <w:sz w:val="16"/>
                <w:szCs w:val="18"/>
                <w:lang w:eastAsia="pt-BR"/>
              </w:rPr>
            </w:pPr>
            <w:r w:rsidRPr="00087F48">
              <w:rPr>
                <w:rFonts w:ascii="Arial" w:hAnsi="Arial" w:cs="Arial"/>
                <w:b/>
                <w:bCs/>
                <w:i/>
                <w:iCs/>
                <w:color w:val="000000"/>
                <w:sz w:val="16"/>
                <w:szCs w:val="18"/>
                <w:lang w:eastAsia="pt-BR"/>
              </w:rPr>
              <w:t>44,65%</w:t>
            </w:r>
          </w:p>
        </w:tc>
        <w:tc>
          <w:tcPr>
            <w:tcW w:w="619" w:type="pct"/>
            <w:tcBorders>
              <w:top w:val="nil"/>
              <w:left w:val="nil"/>
              <w:bottom w:val="single" w:sz="8" w:space="0" w:color="8EAADB"/>
              <w:right w:val="nil"/>
            </w:tcBorders>
            <w:shd w:val="clear" w:color="auto" w:fill="auto"/>
            <w:noWrap/>
            <w:vAlign w:val="center"/>
            <w:hideMark/>
          </w:tcPr>
          <w:p w14:paraId="54FA9EF4" w14:textId="77777777" w:rsidR="00227AE1" w:rsidRPr="00087F48" w:rsidRDefault="00227AE1" w:rsidP="00227AE1">
            <w:pPr>
              <w:tabs>
                <w:tab w:val="clear" w:pos="851"/>
              </w:tabs>
              <w:spacing w:before="0" w:after="0" w:line="240" w:lineRule="auto"/>
              <w:jc w:val="right"/>
              <w:rPr>
                <w:rFonts w:ascii="Arial" w:hAnsi="Arial" w:cs="Arial"/>
                <w:b/>
                <w:bCs/>
                <w:i/>
                <w:iCs/>
                <w:color w:val="000000"/>
                <w:sz w:val="16"/>
                <w:szCs w:val="18"/>
                <w:lang w:eastAsia="pt-BR"/>
              </w:rPr>
            </w:pPr>
            <w:r w:rsidRPr="00087F48">
              <w:rPr>
                <w:rFonts w:ascii="Arial" w:hAnsi="Arial" w:cs="Arial"/>
                <w:b/>
                <w:bCs/>
                <w:i/>
                <w:iCs/>
                <w:color w:val="000000"/>
                <w:sz w:val="16"/>
                <w:szCs w:val="18"/>
                <w:lang w:eastAsia="pt-BR"/>
              </w:rPr>
              <w:t>49,96%</w:t>
            </w:r>
          </w:p>
        </w:tc>
        <w:tc>
          <w:tcPr>
            <w:tcW w:w="619" w:type="pct"/>
            <w:tcBorders>
              <w:top w:val="nil"/>
              <w:left w:val="nil"/>
              <w:bottom w:val="single" w:sz="8" w:space="0" w:color="8EAADB"/>
              <w:right w:val="nil"/>
            </w:tcBorders>
            <w:shd w:val="clear" w:color="auto" w:fill="auto"/>
            <w:noWrap/>
            <w:vAlign w:val="center"/>
            <w:hideMark/>
          </w:tcPr>
          <w:p w14:paraId="2DB0DA26" w14:textId="77777777" w:rsidR="00227AE1" w:rsidRPr="00087F48" w:rsidRDefault="00227AE1" w:rsidP="00227AE1">
            <w:pPr>
              <w:tabs>
                <w:tab w:val="clear" w:pos="851"/>
              </w:tabs>
              <w:spacing w:before="0" w:after="0" w:line="240" w:lineRule="auto"/>
              <w:jc w:val="right"/>
              <w:rPr>
                <w:rFonts w:ascii="Arial" w:hAnsi="Arial" w:cs="Arial"/>
                <w:b/>
                <w:bCs/>
                <w:i/>
                <w:iCs/>
                <w:color w:val="000000"/>
                <w:sz w:val="16"/>
                <w:szCs w:val="18"/>
                <w:lang w:eastAsia="pt-BR"/>
              </w:rPr>
            </w:pPr>
            <w:r w:rsidRPr="00087F48">
              <w:rPr>
                <w:rFonts w:ascii="Arial" w:hAnsi="Arial" w:cs="Arial"/>
                <w:b/>
                <w:bCs/>
                <w:i/>
                <w:iCs/>
                <w:color w:val="000000"/>
                <w:sz w:val="16"/>
                <w:szCs w:val="18"/>
                <w:lang w:eastAsia="pt-BR"/>
              </w:rPr>
              <w:t>53,77%</w:t>
            </w:r>
          </w:p>
        </w:tc>
      </w:tr>
      <w:tr w:rsidR="00227AE1" w:rsidRPr="00393495" w14:paraId="2B6FC897"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43D36858"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Depreciação e Amortização</w:t>
            </w:r>
          </w:p>
        </w:tc>
        <w:tc>
          <w:tcPr>
            <w:tcW w:w="619" w:type="pct"/>
            <w:tcBorders>
              <w:top w:val="nil"/>
              <w:left w:val="nil"/>
              <w:bottom w:val="single" w:sz="8" w:space="0" w:color="8EAADB"/>
              <w:right w:val="nil"/>
            </w:tcBorders>
            <w:shd w:val="clear" w:color="auto" w:fill="auto"/>
            <w:noWrap/>
            <w:vAlign w:val="center"/>
            <w:hideMark/>
          </w:tcPr>
          <w:p w14:paraId="2056D050"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(253.540)</w:t>
            </w:r>
          </w:p>
        </w:tc>
        <w:tc>
          <w:tcPr>
            <w:tcW w:w="619" w:type="pct"/>
            <w:tcBorders>
              <w:top w:val="nil"/>
              <w:left w:val="nil"/>
              <w:bottom w:val="single" w:sz="8" w:space="0" w:color="8EAADB"/>
              <w:right w:val="nil"/>
            </w:tcBorders>
            <w:shd w:val="clear" w:color="auto" w:fill="auto"/>
            <w:noWrap/>
            <w:vAlign w:val="center"/>
            <w:hideMark/>
          </w:tcPr>
          <w:p w14:paraId="3D824675"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(242.087)</w:t>
            </w:r>
          </w:p>
        </w:tc>
        <w:tc>
          <w:tcPr>
            <w:tcW w:w="619" w:type="pct"/>
            <w:tcBorders>
              <w:top w:val="nil"/>
              <w:left w:val="nil"/>
              <w:bottom w:val="single" w:sz="8" w:space="0" w:color="8EAADB"/>
              <w:right w:val="nil"/>
            </w:tcBorders>
            <w:shd w:val="clear" w:color="auto" w:fill="auto"/>
            <w:noWrap/>
            <w:vAlign w:val="center"/>
            <w:hideMark/>
          </w:tcPr>
          <w:p w14:paraId="49D5D596"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(254.336)</w:t>
            </w:r>
          </w:p>
        </w:tc>
      </w:tr>
      <w:tr w:rsidR="00227AE1" w:rsidRPr="00393495" w14:paraId="7CED3F6E"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7A6F0E50"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EBIT</w:t>
            </w:r>
          </w:p>
        </w:tc>
        <w:tc>
          <w:tcPr>
            <w:tcW w:w="619" w:type="pct"/>
            <w:tcBorders>
              <w:top w:val="nil"/>
              <w:left w:val="nil"/>
              <w:bottom w:val="single" w:sz="8" w:space="0" w:color="8EAADB"/>
              <w:right w:val="nil"/>
            </w:tcBorders>
            <w:shd w:val="clear" w:color="auto" w:fill="auto"/>
            <w:noWrap/>
            <w:vAlign w:val="center"/>
            <w:hideMark/>
          </w:tcPr>
          <w:p w14:paraId="1184FB84"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(67.407)</w:t>
            </w:r>
          </w:p>
        </w:tc>
        <w:tc>
          <w:tcPr>
            <w:tcW w:w="619" w:type="pct"/>
            <w:tcBorders>
              <w:top w:val="nil"/>
              <w:left w:val="nil"/>
              <w:bottom w:val="single" w:sz="8" w:space="0" w:color="8EAADB"/>
              <w:right w:val="nil"/>
            </w:tcBorders>
            <w:shd w:val="clear" w:color="auto" w:fill="auto"/>
            <w:noWrap/>
            <w:vAlign w:val="center"/>
            <w:hideMark/>
          </w:tcPr>
          <w:p w14:paraId="35B1B286"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(68.311)</w:t>
            </w:r>
          </w:p>
        </w:tc>
        <w:tc>
          <w:tcPr>
            <w:tcW w:w="619" w:type="pct"/>
            <w:tcBorders>
              <w:top w:val="nil"/>
              <w:left w:val="nil"/>
              <w:bottom w:val="single" w:sz="8" w:space="0" w:color="8EAADB"/>
              <w:right w:val="nil"/>
            </w:tcBorders>
            <w:shd w:val="clear" w:color="auto" w:fill="auto"/>
            <w:noWrap/>
            <w:vAlign w:val="center"/>
            <w:hideMark/>
          </w:tcPr>
          <w:p w14:paraId="7D1A81AA"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(100.731)</w:t>
            </w:r>
          </w:p>
        </w:tc>
      </w:tr>
      <w:tr w:rsidR="00227AE1" w:rsidRPr="00393495" w14:paraId="1EA535B3"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34A755B9"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Resultado Financeiro</w:t>
            </w:r>
          </w:p>
        </w:tc>
        <w:tc>
          <w:tcPr>
            <w:tcW w:w="619" w:type="pct"/>
            <w:tcBorders>
              <w:top w:val="nil"/>
              <w:left w:val="nil"/>
              <w:bottom w:val="single" w:sz="8" w:space="0" w:color="8EAADB"/>
              <w:right w:val="nil"/>
            </w:tcBorders>
            <w:shd w:val="clear" w:color="auto" w:fill="auto"/>
            <w:noWrap/>
            <w:vAlign w:val="center"/>
            <w:hideMark/>
          </w:tcPr>
          <w:p w14:paraId="1290704E"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(59.950)</w:t>
            </w:r>
          </w:p>
        </w:tc>
        <w:tc>
          <w:tcPr>
            <w:tcW w:w="619" w:type="pct"/>
            <w:tcBorders>
              <w:top w:val="nil"/>
              <w:left w:val="nil"/>
              <w:bottom w:val="single" w:sz="8" w:space="0" w:color="8EAADB"/>
              <w:right w:val="nil"/>
            </w:tcBorders>
            <w:shd w:val="clear" w:color="auto" w:fill="auto"/>
            <w:noWrap/>
            <w:vAlign w:val="center"/>
            <w:hideMark/>
          </w:tcPr>
          <w:p w14:paraId="4A31087F"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(100.148)</w:t>
            </w:r>
          </w:p>
        </w:tc>
        <w:tc>
          <w:tcPr>
            <w:tcW w:w="619" w:type="pct"/>
            <w:tcBorders>
              <w:top w:val="nil"/>
              <w:left w:val="nil"/>
              <w:bottom w:val="single" w:sz="8" w:space="0" w:color="8EAADB"/>
              <w:right w:val="nil"/>
            </w:tcBorders>
            <w:shd w:val="clear" w:color="auto" w:fill="auto"/>
            <w:noWrap/>
            <w:vAlign w:val="center"/>
            <w:hideMark/>
          </w:tcPr>
          <w:p w14:paraId="561FD7C3"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(62.282)</w:t>
            </w:r>
          </w:p>
        </w:tc>
      </w:tr>
      <w:tr w:rsidR="00227AE1" w:rsidRPr="00393495" w14:paraId="06D4FE15"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4309D00C"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8"/>
                <w:lang w:eastAsia="pt-BR"/>
              </w:rPr>
            </w:pPr>
            <w:r w:rsidRPr="00087F48">
              <w:rPr>
                <w:rFonts w:ascii="Arial" w:hAnsi="Arial" w:cs="Arial"/>
                <w:b/>
                <w:bCs/>
                <w:color w:val="000000"/>
                <w:sz w:val="16"/>
                <w:szCs w:val="18"/>
                <w:lang w:eastAsia="pt-BR"/>
              </w:rPr>
              <w:t>PREJUÍZO LÍQUIDO DO EXERCÍCIO</w:t>
            </w:r>
          </w:p>
        </w:tc>
        <w:tc>
          <w:tcPr>
            <w:tcW w:w="619" w:type="pct"/>
            <w:tcBorders>
              <w:top w:val="nil"/>
              <w:left w:val="nil"/>
              <w:bottom w:val="single" w:sz="8" w:space="0" w:color="8EAADB"/>
              <w:right w:val="nil"/>
            </w:tcBorders>
            <w:shd w:val="clear" w:color="auto" w:fill="auto"/>
            <w:noWrap/>
            <w:vAlign w:val="center"/>
            <w:hideMark/>
          </w:tcPr>
          <w:p w14:paraId="6A7F22CA"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(127.357)</w:t>
            </w:r>
          </w:p>
        </w:tc>
        <w:tc>
          <w:tcPr>
            <w:tcW w:w="619" w:type="pct"/>
            <w:tcBorders>
              <w:top w:val="nil"/>
              <w:left w:val="nil"/>
              <w:bottom w:val="single" w:sz="8" w:space="0" w:color="8EAADB"/>
              <w:right w:val="nil"/>
            </w:tcBorders>
            <w:shd w:val="clear" w:color="auto" w:fill="auto"/>
            <w:noWrap/>
            <w:vAlign w:val="center"/>
            <w:hideMark/>
          </w:tcPr>
          <w:p w14:paraId="2A6695B2"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(168.459)</w:t>
            </w:r>
          </w:p>
        </w:tc>
        <w:tc>
          <w:tcPr>
            <w:tcW w:w="619" w:type="pct"/>
            <w:tcBorders>
              <w:top w:val="nil"/>
              <w:left w:val="nil"/>
              <w:bottom w:val="single" w:sz="8" w:space="0" w:color="8EAADB"/>
              <w:right w:val="nil"/>
            </w:tcBorders>
            <w:shd w:val="clear" w:color="auto" w:fill="auto"/>
            <w:noWrap/>
            <w:vAlign w:val="center"/>
            <w:hideMark/>
          </w:tcPr>
          <w:p w14:paraId="3C89A03C"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(163.013)</w:t>
            </w:r>
          </w:p>
        </w:tc>
      </w:tr>
      <w:tr w:rsidR="00227AE1" w:rsidRPr="00393495" w14:paraId="1C8B249B" w14:textId="77777777" w:rsidTr="00052435">
        <w:trPr>
          <w:trHeight w:val="238"/>
        </w:trPr>
        <w:tc>
          <w:tcPr>
            <w:tcW w:w="3144" w:type="pct"/>
            <w:tcBorders>
              <w:top w:val="nil"/>
              <w:left w:val="nil"/>
              <w:bottom w:val="single" w:sz="8" w:space="0" w:color="8EAADB"/>
              <w:right w:val="nil"/>
            </w:tcBorders>
            <w:shd w:val="clear" w:color="auto" w:fill="auto"/>
            <w:noWrap/>
            <w:vAlign w:val="center"/>
            <w:hideMark/>
          </w:tcPr>
          <w:p w14:paraId="34242EC4" w14:textId="77777777" w:rsidR="00227AE1" w:rsidRPr="00087F48" w:rsidRDefault="00227AE1" w:rsidP="00227AE1">
            <w:pPr>
              <w:tabs>
                <w:tab w:val="clear" w:pos="851"/>
              </w:tabs>
              <w:spacing w:before="0" w:after="0" w:line="240" w:lineRule="auto"/>
              <w:jc w:val="left"/>
              <w:rPr>
                <w:rFonts w:ascii="Arial" w:hAnsi="Arial" w:cs="Arial"/>
                <w:b/>
                <w:bCs/>
                <w:i/>
                <w:iCs/>
                <w:color w:val="000000"/>
                <w:sz w:val="16"/>
                <w:szCs w:val="18"/>
                <w:lang w:eastAsia="pt-BR"/>
              </w:rPr>
            </w:pPr>
            <w:r w:rsidRPr="00087F48">
              <w:rPr>
                <w:rFonts w:ascii="Arial" w:hAnsi="Arial" w:cs="Arial"/>
                <w:b/>
                <w:bCs/>
                <w:i/>
                <w:iCs/>
                <w:color w:val="000000"/>
                <w:sz w:val="16"/>
                <w:szCs w:val="18"/>
                <w:lang w:eastAsia="pt-BR"/>
              </w:rPr>
              <w:t>Prejuízo por Ação (R$)</w:t>
            </w:r>
          </w:p>
        </w:tc>
        <w:tc>
          <w:tcPr>
            <w:tcW w:w="619" w:type="pct"/>
            <w:tcBorders>
              <w:top w:val="nil"/>
              <w:left w:val="nil"/>
              <w:bottom w:val="single" w:sz="8" w:space="0" w:color="8EAADB"/>
              <w:right w:val="nil"/>
            </w:tcBorders>
            <w:shd w:val="clear" w:color="auto" w:fill="auto"/>
            <w:noWrap/>
            <w:vAlign w:val="center"/>
            <w:hideMark/>
          </w:tcPr>
          <w:p w14:paraId="6B22E573" w14:textId="77777777" w:rsidR="00227AE1" w:rsidRPr="00087F48" w:rsidRDefault="00227AE1" w:rsidP="00227AE1">
            <w:pPr>
              <w:tabs>
                <w:tab w:val="clear" w:pos="851"/>
              </w:tabs>
              <w:spacing w:before="0" w:after="0" w:line="240" w:lineRule="auto"/>
              <w:jc w:val="right"/>
              <w:rPr>
                <w:rFonts w:ascii="Arial" w:hAnsi="Arial" w:cs="Arial"/>
                <w:b/>
                <w:bCs/>
                <w:i/>
                <w:iCs/>
                <w:color w:val="000000"/>
                <w:sz w:val="16"/>
                <w:szCs w:val="18"/>
                <w:lang w:eastAsia="pt-BR"/>
              </w:rPr>
            </w:pPr>
            <w:r w:rsidRPr="00087F48">
              <w:rPr>
                <w:rFonts w:ascii="Arial" w:hAnsi="Arial" w:cs="Arial"/>
                <w:b/>
                <w:bCs/>
                <w:i/>
                <w:iCs/>
                <w:color w:val="000000"/>
                <w:sz w:val="16"/>
                <w:szCs w:val="18"/>
                <w:lang w:eastAsia="pt-BR"/>
              </w:rPr>
              <w:t>-1,4743</w:t>
            </w:r>
          </w:p>
        </w:tc>
        <w:tc>
          <w:tcPr>
            <w:tcW w:w="619" w:type="pct"/>
            <w:tcBorders>
              <w:top w:val="nil"/>
              <w:left w:val="nil"/>
              <w:bottom w:val="single" w:sz="8" w:space="0" w:color="8EAADB"/>
              <w:right w:val="nil"/>
            </w:tcBorders>
            <w:shd w:val="clear" w:color="auto" w:fill="auto"/>
            <w:noWrap/>
            <w:vAlign w:val="center"/>
            <w:hideMark/>
          </w:tcPr>
          <w:p w14:paraId="34C95B39" w14:textId="77777777" w:rsidR="00227AE1" w:rsidRPr="00087F48" w:rsidRDefault="00227AE1" w:rsidP="00227AE1">
            <w:pPr>
              <w:tabs>
                <w:tab w:val="clear" w:pos="851"/>
              </w:tabs>
              <w:spacing w:before="0" w:after="0" w:line="240" w:lineRule="auto"/>
              <w:jc w:val="right"/>
              <w:rPr>
                <w:rFonts w:ascii="Arial" w:hAnsi="Arial" w:cs="Arial"/>
                <w:b/>
                <w:bCs/>
                <w:i/>
                <w:iCs/>
                <w:color w:val="000000"/>
                <w:sz w:val="16"/>
                <w:szCs w:val="18"/>
                <w:lang w:eastAsia="pt-BR"/>
              </w:rPr>
            </w:pPr>
            <w:r w:rsidRPr="00087F48">
              <w:rPr>
                <w:rFonts w:ascii="Arial" w:hAnsi="Arial" w:cs="Arial"/>
                <w:b/>
                <w:bCs/>
                <w:i/>
                <w:iCs/>
                <w:color w:val="000000"/>
                <w:sz w:val="16"/>
                <w:szCs w:val="18"/>
                <w:lang w:eastAsia="pt-BR"/>
              </w:rPr>
              <w:t>-1,9501</w:t>
            </w:r>
          </w:p>
        </w:tc>
        <w:tc>
          <w:tcPr>
            <w:tcW w:w="619" w:type="pct"/>
            <w:tcBorders>
              <w:top w:val="nil"/>
              <w:left w:val="nil"/>
              <w:bottom w:val="single" w:sz="8" w:space="0" w:color="8EAADB"/>
              <w:right w:val="nil"/>
            </w:tcBorders>
            <w:shd w:val="clear" w:color="auto" w:fill="auto"/>
            <w:noWrap/>
            <w:vAlign w:val="center"/>
            <w:hideMark/>
          </w:tcPr>
          <w:p w14:paraId="2BBD69A8" w14:textId="77777777" w:rsidR="00227AE1" w:rsidRPr="00087F48" w:rsidRDefault="00227AE1" w:rsidP="00227AE1">
            <w:pPr>
              <w:tabs>
                <w:tab w:val="clear" w:pos="851"/>
              </w:tabs>
              <w:spacing w:before="0" w:after="0" w:line="240" w:lineRule="auto"/>
              <w:jc w:val="right"/>
              <w:rPr>
                <w:rFonts w:ascii="Arial" w:hAnsi="Arial" w:cs="Arial"/>
                <w:b/>
                <w:bCs/>
                <w:i/>
                <w:iCs/>
                <w:color w:val="000000"/>
                <w:sz w:val="16"/>
                <w:szCs w:val="18"/>
                <w:lang w:eastAsia="pt-BR"/>
              </w:rPr>
            </w:pPr>
            <w:r w:rsidRPr="00087F48">
              <w:rPr>
                <w:rFonts w:ascii="Arial" w:hAnsi="Arial" w:cs="Arial"/>
                <w:b/>
                <w:bCs/>
                <w:i/>
                <w:iCs/>
                <w:color w:val="000000"/>
                <w:sz w:val="16"/>
                <w:szCs w:val="18"/>
                <w:lang w:eastAsia="pt-BR"/>
              </w:rPr>
              <w:t>-2,4020</w:t>
            </w:r>
          </w:p>
        </w:tc>
      </w:tr>
    </w:tbl>
    <w:p w14:paraId="5496CC79" w14:textId="3A97D82A" w:rsidR="003E0246" w:rsidRPr="003E0246" w:rsidRDefault="003E0246" w:rsidP="00087F48">
      <w:pPr>
        <w:pStyle w:val="Ttulo3"/>
        <w:ind w:left="709" w:hanging="709"/>
        <w:rPr>
          <w:rFonts w:eastAsia="Arial"/>
          <w:sz w:val="22"/>
          <w:u w:val="single"/>
        </w:rPr>
      </w:pPr>
      <w:bookmarkStart w:id="10" w:name="_Toc161319433"/>
      <w:r w:rsidRPr="00087F48">
        <w:t>Receita Operacional Líquida</w:t>
      </w:r>
      <w:bookmarkEnd w:id="10"/>
    </w:p>
    <w:tbl>
      <w:tblPr>
        <w:tblW w:w="5000" w:type="pct"/>
        <w:tblCellMar>
          <w:left w:w="70" w:type="dxa"/>
          <w:right w:w="70" w:type="dxa"/>
        </w:tblCellMar>
        <w:tblLook w:val="04A0" w:firstRow="1" w:lastRow="0" w:firstColumn="1" w:lastColumn="0" w:noHBand="0" w:noVBand="1"/>
      </w:tblPr>
      <w:tblGrid>
        <w:gridCol w:w="4282"/>
        <w:gridCol w:w="949"/>
        <w:gridCol w:w="994"/>
        <w:gridCol w:w="949"/>
        <w:gridCol w:w="949"/>
        <w:gridCol w:w="949"/>
      </w:tblGrid>
      <w:tr w:rsidR="00227AE1" w:rsidRPr="00393495" w14:paraId="1075930C" w14:textId="77777777" w:rsidTr="00052435">
        <w:trPr>
          <w:trHeight w:val="238"/>
        </w:trPr>
        <w:tc>
          <w:tcPr>
            <w:tcW w:w="2363" w:type="pct"/>
            <w:tcBorders>
              <w:top w:val="single" w:sz="8" w:space="0" w:color="9BC2E6"/>
              <w:left w:val="nil"/>
              <w:bottom w:val="single" w:sz="8" w:space="0" w:color="9BC2E6"/>
              <w:right w:val="nil"/>
            </w:tcBorders>
            <w:shd w:val="clear" w:color="auto" w:fill="auto"/>
            <w:vAlign w:val="center"/>
            <w:hideMark/>
          </w:tcPr>
          <w:p w14:paraId="4F75CCF5" w14:textId="77777777" w:rsidR="00227AE1" w:rsidRPr="00087F48" w:rsidRDefault="00227AE1" w:rsidP="00227AE1">
            <w:pPr>
              <w:tabs>
                <w:tab w:val="clear" w:pos="851"/>
              </w:tabs>
              <w:spacing w:before="0" w:after="0" w:line="240" w:lineRule="auto"/>
              <w:jc w:val="left"/>
              <w:rPr>
                <w:rFonts w:ascii="Arial" w:hAnsi="Arial" w:cs="Arial"/>
                <w:b/>
                <w:bCs/>
                <w:color w:val="2E74B5"/>
                <w:sz w:val="16"/>
                <w:szCs w:val="18"/>
                <w:lang w:eastAsia="pt-BR"/>
              </w:rPr>
            </w:pPr>
            <w:r w:rsidRPr="00087F48">
              <w:rPr>
                <w:rFonts w:ascii="Arial" w:hAnsi="Arial" w:cs="Arial"/>
                <w:b/>
                <w:bCs/>
                <w:color w:val="2E74B5"/>
                <w:sz w:val="16"/>
                <w:szCs w:val="18"/>
                <w:lang w:eastAsia="pt-BR"/>
              </w:rPr>
              <w:t>R$ mil</w:t>
            </w:r>
          </w:p>
        </w:tc>
        <w:tc>
          <w:tcPr>
            <w:tcW w:w="527" w:type="pct"/>
            <w:tcBorders>
              <w:top w:val="single" w:sz="8" w:space="0" w:color="9BC2E6"/>
              <w:left w:val="nil"/>
              <w:bottom w:val="single" w:sz="8" w:space="0" w:color="9BC2E6"/>
              <w:right w:val="nil"/>
            </w:tcBorders>
            <w:shd w:val="clear" w:color="auto" w:fill="auto"/>
            <w:vAlign w:val="center"/>
            <w:hideMark/>
          </w:tcPr>
          <w:p w14:paraId="7544AFFD" w14:textId="77777777" w:rsidR="00227AE1" w:rsidRPr="00087F48" w:rsidRDefault="00227AE1" w:rsidP="00227AE1">
            <w:pPr>
              <w:tabs>
                <w:tab w:val="clear" w:pos="851"/>
              </w:tabs>
              <w:spacing w:before="0" w:after="0" w:line="240" w:lineRule="auto"/>
              <w:jc w:val="center"/>
              <w:rPr>
                <w:rFonts w:ascii="Arial" w:hAnsi="Arial" w:cs="Arial"/>
                <w:b/>
                <w:bCs/>
                <w:color w:val="2E74B5"/>
                <w:sz w:val="16"/>
                <w:szCs w:val="18"/>
                <w:lang w:eastAsia="pt-BR"/>
              </w:rPr>
            </w:pPr>
            <w:r w:rsidRPr="00087F48">
              <w:rPr>
                <w:rFonts w:ascii="Arial" w:hAnsi="Arial" w:cs="Arial"/>
                <w:b/>
                <w:bCs/>
                <w:color w:val="2E74B5"/>
                <w:sz w:val="16"/>
                <w:szCs w:val="18"/>
                <w:lang w:eastAsia="pt-BR"/>
              </w:rPr>
              <w:t>2023</w:t>
            </w:r>
          </w:p>
        </w:tc>
        <w:tc>
          <w:tcPr>
            <w:tcW w:w="527" w:type="pct"/>
            <w:tcBorders>
              <w:top w:val="single" w:sz="8" w:space="0" w:color="9BC2E6"/>
              <w:left w:val="nil"/>
              <w:bottom w:val="single" w:sz="8" w:space="0" w:color="9BC2E6"/>
              <w:right w:val="nil"/>
            </w:tcBorders>
            <w:shd w:val="clear" w:color="auto" w:fill="auto"/>
            <w:vAlign w:val="center"/>
            <w:hideMark/>
          </w:tcPr>
          <w:p w14:paraId="672066B5" w14:textId="77777777" w:rsidR="00227AE1" w:rsidRPr="00087F48" w:rsidRDefault="00227AE1" w:rsidP="00227AE1">
            <w:pPr>
              <w:tabs>
                <w:tab w:val="clear" w:pos="851"/>
              </w:tabs>
              <w:spacing w:before="0" w:after="0" w:line="240" w:lineRule="auto"/>
              <w:jc w:val="center"/>
              <w:rPr>
                <w:rFonts w:ascii="Arial" w:hAnsi="Arial" w:cs="Arial"/>
                <w:b/>
                <w:bCs/>
                <w:color w:val="2E74B5"/>
                <w:sz w:val="16"/>
                <w:szCs w:val="18"/>
                <w:lang w:eastAsia="pt-BR"/>
              </w:rPr>
            </w:pPr>
            <w:r w:rsidRPr="00087F48">
              <w:rPr>
                <w:rFonts w:ascii="Arial" w:hAnsi="Arial" w:cs="Arial"/>
                <w:b/>
                <w:bCs/>
                <w:color w:val="2E74B5"/>
                <w:sz w:val="16"/>
                <w:szCs w:val="18"/>
                <w:lang w:eastAsia="pt-BR"/>
              </w:rPr>
              <w:t>2022</w:t>
            </w:r>
          </w:p>
        </w:tc>
        <w:tc>
          <w:tcPr>
            <w:tcW w:w="527" w:type="pct"/>
            <w:tcBorders>
              <w:top w:val="single" w:sz="8" w:space="0" w:color="9BC2E6"/>
              <w:left w:val="nil"/>
              <w:bottom w:val="single" w:sz="8" w:space="0" w:color="9BC2E6"/>
              <w:right w:val="nil"/>
            </w:tcBorders>
            <w:shd w:val="clear" w:color="auto" w:fill="auto"/>
            <w:vAlign w:val="center"/>
            <w:hideMark/>
          </w:tcPr>
          <w:p w14:paraId="611119E0" w14:textId="77777777" w:rsidR="00227AE1" w:rsidRPr="00087F48" w:rsidRDefault="00227AE1" w:rsidP="00227AE1">
            <w:pPr>
              <w:tabs>
                <w:tab w:val="clear" w:pos="851"/>
              </w:tabs>
              <w:spacing w:before="0" w:after="0" w:line="240" w:lineRule="auto"/>
              <w:jc w:val="center"/>
              <w:rPr>
                <w:rFonts w:ascii="Arial" w:hAnsi="Arial" w:cs="Arial"/>
                <w:b/>
                <w:bCs/>
                <w:color w:val="2E74B5"/>
                <w:sz w:val="16"/>
                <w:szCs w:val="18"/>
                <w:lang w:eastAsia="pt-BR"/>
              </w:rPr>
            </w:pPr>
            <w:r w:rsidRPr="00087F48">
              <w:rPr>
                <w:rFonts w:ascii="Arial" w:hAnsi="Arial" w:cs="Arial"/>
                <w:b/>
                <w:bCs/>
                <w:color w:val="2E74B5"/>
                <w:sz w:val="16"/>
                <w:szCs w:val="18"/>
                <w:lang w:eastAsia="pt-BR"/>
              </w:rPr>
              <w:t>2021</w:t>
            </w:r>
          </w:p>
        </w:tc>
        <w:tc>
          <w:tcPr>
            <w:tcW w:w="527" w:type="pct"/>
            <w:tcBorders>
              <w:top w:val="single" w:sz="8" w:space="0" w:color="9BC2E6"/>
              <w:left w:val="nil"/>
              <w:bottom w:val="single" w:sz="8" w:space="0" w:color="9BC2E6"/>
              <w:right w:val="nil"/>
            </w:tcBorders>
            <w:shd w:val="clear" w:color="000000" w:fill="FFFFFF"/>
            <w:vAlign w:val="center"/>
            <w:hideMark/>
          </w:tcPr>
          <w:p w14:paraId="681A8455"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2022</w:t>
            </w:r>
          </w:p>
        </w:tc>
        <w:tc>
          <w:tcPr>
            <w:tcW w:w="527" w:type="pct"/>
            <w:tcBorders>
              <w:top w:val="single" w:sz="8" w:space="0" w:color="9BC2E6"/>
              <w:left w:val="nil"/>
              <w:bottom w:val="single" w:sz="8" w:space="0" w:color="9BC2E6"/>
              <w:right w:val="nil"/>
            </w:tcBorders>
            <w:shd w:val="clear" w:color="000000" w:fill="FFFFFF"/>
            <w:vAlign w:val="center"/>
            <w:hideMark/>
          </w:tcPr>
          <w:p w14:paraId="5C53A88A"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2021</w:t>
            </w:r>
          </w:p>
        </w:tc>
      </w:tr>
      <w:tr w:rsidR="00227AE1" w:rsidRPr="00393495" w14:paraId="6151D5E1" w14:textId="77777777" w:rsidTr="00052435">
        <w:trPr>
          <w:trHeight w:val="238"/>
        </w:trPr>
        <w:tc>
          <w:tcPr>
            <w:tcW w:w="2363" w:type="pct"/>
            <w:tcBorders>
              <w:top w:val="nil"/>
              <w:left w:val="nil"/>
              <w:bottom w:val="single" w:sz="8" w:space="0" w:color="8EAADB"/>
              <w:right w:val="nil"/>
            </w:tcBorders>
            <w:shd w:val="clear" w:color="auto" w:fill="auto"/>
            <w:noWrap/>
            <w:vAlign w:val="center"/>
            <w:hideMark/>
          </w:tcPr>
          <w:p w14:paraId="0996EFD5"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8"/>
                <w:lang w:eastAsia="pt-BR"/>
              </w:rPr>
            </w:pPr>
            <w:r w:rsidRPr="00087F48">
              <w:rPr>
                <w:rFonts w:ascii="Arial" w:hAnsi="Arial" w:cs="Arial"/>
                <w:b/>
                <w:bCs/>
                <w:color w:val="000000"/>
                <w:sz w:val="16"/>
                <w:szCs w:val="18"/>
                <w:lang w:eastAsia="pt-BR"/>
              </w:rPr>
              <w:t>RECEITA OPERACIONAL BRUTA</w:t>
            </w:r>
          </w:p>
        </w:tc>
        <w:tc>
          <w:tcPr>
            <w:tcW w:w="527" w:type="pct"/>
            <w:tcBorders>
              <w:top w:val="nil"/>
              <w:left w:val="nil"/>
              <w:bottom w:val="single" w:sz="8" w:space="0" w:color="8EAADB"/>
              <w:right w:val="nil"/>
            </w:tcBorders>
            <w:shd w:val="clear" w:color="auto" w:fill="auto"/>
            <w:noWrap/>
            <w:vAlign w:val="center"/>
            <w:hideMark/>
          </w:tcPr>
          <w:p w14:paraId="7E7B61E4"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470.052</w:t>
            </w:r>
          </w:p>
        </w:tc>
        <w:tc>
          <w:tcPr>
            <w:tcW w:w="527" w:type="pct"/>
            <w:tcBorders>
              <w:top w:val="nil"/>
              <w:left w:val="nil"/>
              <w:bottom w:val="single" w:sz="8" w:space="0" w:color="8EAADB"/>
              <w:right w:val="nil"/>
            </w:tcBorders>
            <w:shd w:val="clear" w:color="auto" w:fill="auto"/>
            <w:noWrap/>
            <w:vAlign w:val="center"/>
            <w:hideMark/>
          </w:tcPr>
          <w:p w14:paraId="5E676BC6"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403.502</w:t>
            </w:r>
          </w:p>
        </w:tc>
        <w:tc>
          <w:tcPr>
            <w:tcW w:w="527" w:type="pct"/>
            <w:tcBorders>
              <w:top w:val="nil"/>
              <w:left w:val="nil"/>
              <w:bottom w:val="single" w:sz="8" w:space="0" w:color="8EAADB"/>
              <w:right w:val="nil"/>
            </w:tcBorders>
            <w:shd w:val="clear" w:color="auto" w:fill="auto"/>
            <w:noWrap/>
            <w:vAlign w:val="center"/>
            <w:hideMark/>
          </w:tcPr>
          <w:p w14:paraId="409E8630"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344.222</w:t>
            </w:r>
          </w:p>
        </w:tc>
        <w:tc>
          <w:tcPr>
            <w:tcW w:w="527" w:type="pct"/>
            <w:tcBorders>
              <w:top w:val="nil"/>
              <w:left w:val="nil"/>
              <w:bottom w:val="single" w:sz="8" w:space="0" w:color="8EAADB"/>
              <w:right w:val="nil"/>
            </w:tcBorders>
            <w:shd w:val="clear" w:color="auto" w:fill="auto"/>
            <w:noWrap/>
            <w:vAlign w:val="center"/>
            <w:hideMark/>
          </w:tcPr>
          <w:p w14:paraId="1C8EB190"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16,5%</w:t>
            </w:r>
          </w:p>
        </w:tc>
        <w:tc>
          <w:tcPr>
            <w:tcW w:w="527" w:type="pct"/>
            <w:tcBorders>
              <w:top w:val="nil"/>
              <w:left w:val="nil"/>
              <w:bottom w:val="single" w:sz="8" w:space="0" w:color="8EAADB"/>
              <w:right w:val="nil"/>
            </w:tcBorders>
            <w:shd w:val="clear" w:color="auto" w:fill="auto"/>
            <w:noWrap/>
            <w:vAlign w:val="center"/>
            <w:hideMark/>
          </w:tcPr>
          <w:p w14:paraId="293E97C9"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36,6%</w:t>
            </w:r>
          </w:p>
        </w:tc>
      </w:tr>
      <w:tr w:rsidR="00227AE1" w:rsidRPr="00393495" w14:paraId="073B8329" w14:textId="77777777" w:rsidTr="00052435">
        <w:trPr>
          <w:trHeight w:val="238"/>
        </w:trPr>
        <w:tc>
          <w:tcPr>
            <w:tcW w:w="2363" w:type="pct"/>
            <w:tcBorders>
              <w:top w:val="nil"/>
              <w:left w:val="nil"/>
              <w:bottom w:val="single" w:sz="8" w:space="0" w:color="8EAADB"/>
              <w:right w:val="nil"/>
            </w:tcBorders>
            <w:shd w:val="clear" w:color="auto" w:fill="auto"/>
            <w:noWrap/>
            <w:vAlign w:val="center"/>
            <w:hideMark/>
          </w:tcPr>
          <w:p w14:paraId="1B870D1B"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Serviços de Comunicação Multimídia</w:t>
            </w:r>
          </w:p>
        </w:tc>
        <w:tc>
          <w:tcPr>
            <w:tcW w:w="527" w:type="pct"/>
            <w:tcBorders>
              <w:top w:val="nil"/>
              <w:left w:val="nil"/>
              <w:bottom w:val="single" w:sz="8" w:space="0" w:color="8EAADB"/>
              <w:right w:val="nil"/>
            </w:tcBorders>
            <w:shd w:val="clear" w:color="auto" w:fill="auto"/>
            <w:noWrap/>
            <w:vAlign w:val="center"/>
            <w:hideMark/>
          </w:tcPr>
          <w:p w14:paraId="270E7BA8"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356.511</w:t>
            </w:r>
          </w:p>
        </w:tc>
        <w:tc>
          <w:tcPr>
            <w:tcW w:w="527" w:type="pct"/>
            <w:tcBorders>
              <w:top w:val="nil"/>
              <w:left w:val="nil"/>
              <w:bottom w:val="single" w:sz="8" w:space="0" w:color="8EAADB"/>
              <w:right w:val="nil"/>
            </w:tcBorders>
            <w:shd w:val="clear" w:color="auto" w:fill="auto"/>
            <w:noWrap/>
            <w:vAlign w:val="center"/>
            <w:hideMark/>
          </w:tcPr>
          <w:p w14:paraId="71AAB45E"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322.614</w:t>
            </w:r>
          </w:p>
        </w:tc>
        <w:tc>
          <w:tcPr>
            <w:tcW w:w="527" w:type="pct"/>
            <w:tcBorders>
              <w:top w:val="nil"/>
              <w:left w:val="nil"/>
              <w:bottom w:val="single" w:sz="8" w:space="0" w:color="8EAADB"/>
              <w:right w:val="nil"/>
            </w:tcBorders>
            <w:shd w:val="clear" w:color="auto" w:fill="auto"/>
            <w:noWrap/>
            <w:vAlign w:val="center"/>
            <w:hideMark/>
          </w:tcPr>
          <w:p w14:paraId="3CD68045"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283.497</w:t>
            </w:r>
          </w:p>
        </w:tc>
        <w:tc>
          <w:tcPr>
            <w:tcW w:w="527" w:type="pct"/>
            <w:tcBorders>
              <w:top w:val="nil"/>
              <w:left w:val="nil"/>
              <w:bottom w:val="single" w:sz="8" w:space="0" w:color="8EAADB"/>
              <w:right w:val="nil"/>
            </w:tcBorders>
            <w:shd w:val="clear" w:color="auto" w:fill="auto"/>
            <w:noWrap/>
            <w:vAlign w:val="center"/>
            <w:hideMark/>
          </w:tcPr>
          <w:p w14:paraId="0C03B64E"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10,5%</w:t>
            </w:r>
          </w:p>
        </w:tc>
        <w:tc>
          <w:tcPr>
            <w:tcW w:w="527" w:type="pct"/>
            <w:tcBorders>
              <w:top w:val="nil"/>
              <w:left w:val="nil"/>
              <w:bottom w:val="single" w:sz="8" w:space="0" w:color="8EAADB"/>
              <w:right w:val="nil"/>
            </w:tcBorders>
            <w:shd w:val="clear" w:color="auto" w:fill="auto"/>
            <w:noWrap/>
            <w:vAlign w:val="center"/>
            <w:hideMark/>
          </w:tcPr>
          <w:p w14:paraId="05757CA5"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25,8%</w:t>
            </w:r>
          </w:p>
        </w:tc>
      </w:tr>
      <w:tr w:rsidR="00227AE1" w:rsidRPr="00393495" w14:paraId="42BEF830" w14:textId="77777777" w:rsidTr="00052435">
        <w:trPr>
          <w:trHeight w:val="238"/>
        </w:trPr>
        <w:tc>
          <w:tcPr>
            <w:tcW w:w="2363" w:type="pct"/>
            <w:tcBorders>
              <w:top w:val="nil"/>
              <w:left w:val="nil"/>
              <w:bottom w:val="single" w:sz="8" w:space="0" w:color="8EAADB"/>
              <w:right w:val="nil"/>
            </w:tcBorders>
            <w:shd w:val="clear" w:color="auto" w:fill="auto"/>
            <w:noWrap/>
            <w:vAlign w:val="center"/>
            <w:hideMark/>
          </w:tcPr>
          <w:p w14:paraId="11237EBC"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Locação de Capacidade Satelital</w:t>
            </w:r>
          </w:p>
        </w:tc>
        <w:tc>
          <w:tcPr>
            <w:tcW w:w="527" w:type="pct"/>
            <w:tcBorders>
              <w:top w:val="nil"/>
              <w:left w:val="nil"/>
              <w:bottom w:val="single" w:sz="8" w:space="0" w:color="8EAADB"/>
              <w:right w:val="nil"/>
            </w:tcBorders>
            <w:shd w:val="clear" w:color="auto" w:fill="auto"/>
            <w:noWrap/>
            <w:vAlign w:val="center"/>
            <w:hideMark/>
          </w:tcPr>
          <w:p w14:paraId="19C1A6AD"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36.481</w:t>
            </w:r>
          </w:p>
        </w:tc>
        <w:tc>
          <w:tcPr>
            <w:tcW w:w="527" w:type="pct"/>
            <w:tcBorders>
              <w:top w:val="nil"/>
              <w:left w:val="nil"/>
              <w:bottom w:val="single" w:sz="8" w:space="0" w:color="8EAADB"/>
              <w:right w:val="nil"/>
            </w:tcBorders>
            <w:shd w:val="clear" w:color="auto" w:fill="auto"/>
            <w:noWrap/>
            <w:vAlign w:val="center"/>
            <w:hideMark/>
          </w:tcPr>
          <w:p w14:paraId="3523ED0D"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36.481</w:t>
            </w:r>
          </w:p>
        </w:tc>
        <w:tc>
          <w:tcPr>
            <w:tcW w:w="527" w:type="pct"/>
            <w:tcBorders>
              <w:top w:val="nil"/>
              <w:left w:val="nil"/>
              <w:bottom w:val="single" w:sz="8" w:space="0" w:color="8EAADB"/>
              <w:right w:val="nil"/>
            </w:tcBorders>
            <w:shd w:val="clear" w:color="auto" w:fill="auto"/>
            <w:noWrap/>
            <w:vAlign w:val="center"/>
            <w:hideMark/>
          </w:tcPr>
          <w:p w14:paraId="3E49DA06"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36.481</w:t>
            </w:r>
          </w:p>
        </w:tc>
        <w:tc>
          <w:tcPr>
            <w:tcW w:w="527" w:type="pct"/>
            <w:tcBorders>
              <w:top w:val="nil"/>
              <w:left w:val="nil"/>
              <w:bottom w:val="single" w:sz="8" w:space="0" w:color="8EAADB"/>
              <w:right w:val="nil"/>
            </w:tcBorders>
            <w:shd w:val="clear" w:color="auto" w:fill="auto"/>
            <w:noWrap/>
            <w:vAlign w:val="center"/>
            <w:hideMark/>
          </w:tcPr>
          <w:p w14:paraId="323DEAE7"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0,0%</w:t>
            </w:r>
          </w:p>
        </w:tc>
        <w:tc>
          <w:tcPr>
            <w:tcW w:w="527" w:type="pct"/>
            <w:tcBorders>
              <w:top w:val="nil"/>
              <w:left w:val="nil"/>
              <w:bottom w:val="single" w:sz="8" w:space="0" w:color="8EAADB"/>
              <w:right w:val="nil"/>
            </w:tcBorders>
            <w:shd w:val="clear" w:color="auto" w:fill="auto"/>
            <w:noWrap/>
            <w:vAlign w:val="center"/>
            <w:hideMark/>
          </w:tcPr>
          <w:p w14:paraId="0C6967C7"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0,0%</w:t>
            </w:r>
          </w:p>
        </w:tc>
      </w:tr>
      <w:tr w:rsidR="00227AE1" w:rsidRPr="00393495" w14:paraId="367977D3" w14:textId="77777777" w:rsidTr="00052435">
        <w:trPr>
          <w:trHeight w:val="238"/>
        </w:trPr>
        <w:tc>
          <w:tcPr>
            <w:tcW w:w="2363" w:type="pct"/>
            <w:tcBorders>
              <w:top w:val="nil"/>
              <w:left w:val="nil"/>
              <w:bottom w:val="single" w:sz="8" w:space="0" w:color="8EAADB"/>
              <w:right w:val="nil"/>
            </w:tcBorders>
            <w:shd w:val="clear" w:color="auto" w:fill="auto"/>
            <w:noWrap/>
            <w:vAlign w:val="center"/>
            <w:hideMark/>
          </w:tcPr>
          <w:p w14:paraId="33441A70"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Aluguéis e Locações</w:t>
            </w:r>
          </w:p>
        </w:tc>
        <w:tc>
          <w:tcPr>
            <w:tcW w:w="527" w:type="pct"/>
            <w:tcBorders>
              <w:top w:val="nil"/>
              <w:left w:val="nil"/>
              <w:bottom w:val="single" w:sz="8" w:space="0" w:color="8EAADB"/>
              <w:right w:val="nil"/>
            </w:tcBorders>
            <w:shd w:val="clear" w:color="auto" w:fill="auto"/>
            <w:noWrap/>
            <w:vAlign w:val="center"/>
            <w:hideMark/>
          </w:tcPr>
          <w:p w14:paraId="56B6FBB9"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24.851</w:t>
            </w:r>
          </w:p>
        </w:tc>
        <w:tc>
          <w:tcPr>
            <w:tcW w:w="527" w:type="pct"/>
            <w:tcBorders>
              <w:top w:val="nil"/>
              <w:left w:val="nil"/>
              <w:bottom w:val="single" w:sz="8" w:space="0" w:color="8EAADB"/>
              <w:right w:val="nil"/>
            </w:tcBorders>
            <w:shd w:val="clear" w:color="auto" w:fill="auto"/>
            <w:noWrap/>
            <w:vAlign w:val="center"/>
            <w:hideMark/>
          </w:tcPr>
          <w:p w14:paraId="44E3DB86"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22.056</w:t>
            </w:r>
          </w:p>
        </w:tc>
        <w:tc>
          <w:tcPr>
            <w:tcW w:w="527" w:type="pct"/>
            <w:tcBorders>
              <w:top w:val="nil"/>
              <w:left w:val="nil"/>
              <w:bottom w:val="single" w:sz="8" w:space="0" w:color="8EAADB"/>
              <w:right w:val="nil"/>
            </w:tcBorders>
            <w:shd w:val="clear" w:color="auto" w:fill="auto"/>
            <w:noWrap/>
            <w:vAlign w:val="center"/>
            <w:hideMark/>
          </w:tcPr>
          <w:p w14:paraId="74696C0F"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16.246</w:t>
            </w:r>
          </w:p>
        </w:tc>
        <w:tc>
          <w:tcPr>
            <w:tcW w:w="527" w:type="pct"/>
            <w:tcBorders>
              <w:top w:val="nil"/>
              <w:left w:val="nil"/>
              <w:bottom w:val="single" w:sz="8" w:space="0" w:color="8EAADB"/>
              <w:right w:val="nil"/>
            </w:tcBorders>
            <w:shd w:val="clear" w:color="auto" w:fill="auto"/>
            <w:noWrap/>
            <w:vAlign w:val="center"/>
            <w:hideMark/>
          </w:tcPr>
          <w:p w14:paraId="0B636720"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12,7%</w:t>
            </w:r>
          </w:p>
        </w:tc>
        <w:tc>
          <w:tcPr>
            <w:tcW w:w="527" w:type="pct"/>
            <w:tcBorders>
              <w:top w:val="nil"/>
              <w:left w:val="nil"/>
              <w:bottom w:val="single" w:sz="8" w:space="0" w:color="8EAADB"/>
              <w:right w:val="nil"/>
            </w:tcBorders>
            <w:shd w:val="clear" w:color="auto" w:fill="auto"/>
            <w:noWrap/>
            <w:vAlign w:val="center"/>
            <w:hideMark/>
          </w:tcPr>
          <w:p w14:paraId="7F77EAD9"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53,0%</w:t>
            </w:r>
          </w:p>
        </w:tc>
      </w:tr>
      <w:tr w:rsidR="00227AE1" w:rsidRPr="00393495" w14:paraId="2C774B25" w14:textId="77777777" w:rsidTr="00052435">
        <w:trPr>
          <w:trHeight w:val="238"/>
        </w:trPr>
        <w:tc>
          <w:tcPr>
            <w:tcW w:w="2363" w:type="pct"/>
            <w:tcBorders>
              <w:top w:val="nil"/>
              <w:left w:val="nil"/>
              <w:bottom w:val="single" w:sz="8" w:space="0" w:color="8EAADB"/>
              <w:right w:val="nil"/>
            </w:tcBorders>
            <w:shd w:val="clear" w:color="auto" w:fill="auto"/>
            <w:noWrap/>
            <w:vAlign w:val="center"/>
            <w:hideMark/>
          </w:tcPr>
          <w:p w14:paraId="6CF6B031"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Compartilhamento de Receita</w:t>
            </w:r>
          </w:p>
        </w:tc>
        <w:tc>
          <w:tcPr>
            <w:tcW w:w="527" w:type="pct"/>
            <w:tcBorders>
              <w:top w:val="nil"/>
              <w:left w:val="nil"/>
              <w:bottom w:val="single" w:sz="8" w:space="0" w:color="8EAADB"/>
              <w:right w:val="nil"/>
            </w:tcBorders>
            <w:shd w:val="clear" w:color="auto" w:fill="auto"/>
            <w:noWrap/>
            <w:vAlign w:val="center"/>
            <w:hideMark/>
          </w:tcPr>
          <w:p w14:paraId="4ED24023"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19.640</w:t>
            </w:r>
          </w:p>
        </w:tc>
        <w:tc>
          <w:tcPr>
            <w:tcW w:w="527" w:type="pct"/>
            <w:tcBorders>
              <w:top w:val="nil"/>
              <w:left w:val="nil"/>
              <w:bottom w:val="single" w:sz="8" w:space="0" w:color="8EAADB"/>
              <w:right w:val="nil"/>
            </w:tcBorders>
            <w:shd w:val="clear" w:color="auto" w:fill="auto"/>
            <w:noWrap/>
            <w:vAlign w:val="center"/>
            <w:hideMark/>
          </w:tcPr>
          <w:p w14:paraId="72F34DC3"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15.463</w:t>
            </w:r>
          </w:p>
        </w:tc>
        <w:tc>
          <w:tcPr>
            <w:tcW w:w="527" w:type="pct"/>
            <w:tcBorders>
              <w:top w:val="nil"/>
              <w:left w:val="nil"/>
              <w:bottom w:val="single" w:sz="8" w:space="0" w:color="8EAADB"/>
              <w:right w:val="nil"/>
            </w:tcBorders>
            <w:shd w:val="clear" w:color="auto" w:fill="auto"/>
            <w:noWrap/>
            <w:vAlign w:val="center"/>
            <w:hideMark/>
          </w:tcPr>
          <w:p w14:paraId="7AFB23E1"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7.099</w:t>
            </w:r>
          </w:p>
        </w:tc>
        <w:tc>
          <w:tcPr>
            <w:tcW w:w="527" w:type="pct"/>
            <w:tcBorders>
              <w:top w:val="nil"/>
              <w:left w:val="nil"/>
              <w:bottom w:val="single" w:sz="8" w:space="0" w:color="8EAADB"/>
              <w:right w:val="nil"/>
            </w:tcBorders>
            <w:shd w:val="clear" w:color="auto" w:fill="auto"/>
            <w:noWrap/>
            <w:vAlign w:val="center"/>
            <w:hideMark/>
          </w:tcPr>
          <w:p w14:paraId="0F9C5A43"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27,0%</w:t>
            </w:r>
          </w:p>
        </w:tc>
        <w:tc>
          <w:tcPr>
            <w:tcW w:w="527" w:type="pct"/>
            <w:tcBorders>
              <w:top w:val="nil"/>
              <w:left w:val="nil"/>
              <w:bottom w:val="single" w:sz="8" w:space="0" w:color="8EAADB"/>
              <w:right w:val="nil"/>
            </w:tcBorders>
            <w:shd w:val="clear" w:color="auto" w:fill="auto"/>
            <w:noWrap/>
            <w:vAlign w:val="center"/>
            <w:hideMark/>
          </w:tcPr>
          <w:p w14:paraId="7C3F88FD"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176,7%</w:t>
            </w:r>
          </w:p>
        </w:tc>
      </w:tr>
      <w:tr w:rsidR="00227AE1" w:rsidRPr="00393495" w14:paraId="444A39FC" w14:textId="77777777" w:rsidTr="00052435">
        <w:trPr>
          <w:trHeight w:val="238"/>
        </w:trPr>
        <w:tc>
          <w:tcPr>
            <w:tcW w:w="2363" w:type="pct"/>
            <w:tcBorders>
              <w:top w:val="nil"/>
              <w:left w:val="nil"/>
              <w:bottom w:val="single" w:sz="8" w:space="0" w:color="8EAADB"/>
              <w:right w:val="nil"/>
            </w:tcBorders>
            <w:shd w:val="clear" w:color="auto" w:fill="auto"/>
            <w:noWrap/>
            <w:vAlign w:val="center"/>
            <w:hideMark/>
          </w:tcPr>
          <w:p w14:paraId="778AA062"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Receita de Valor Adicionado</w:t>
            </w:r>
          </w:p>
        </w:tc>
        <w:tc>
          <w:tcPr>
            <w:tcW w:w="527" w:type="pct"/>
            <w:tcBorders>
              <w:top w:val="nil"/>
              <w:left w:val="nil"/>
              <w:bottom w:val="single" w:sz="8" w:space="0" w:color="8EAADB"/>
              <w:right w:val="nil"/>
            </w:tcBorders>
            <w:shd w:val="clear" w:color="auto" w:fill="auto"/>
            <w:noWrap/>
            <w:vAlign w:val="center"/>
            <w:hideMark/>
          </w:tcPr>
          <w:p w14:paraId="1C37B68E"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18.073 </w:t>
            </w:r>
          </w:p>
        </w:tc>
        <w:tc>
          <w:tcPr>
            <w:tcW w:w="527" w:type="pct"/>
            <w:tcBorders>
              <w:top w:val="nil"/>
              <w:left w:val="nil"/>
              <w:bottom w:val="single" w:sz="8" w:space="0" w:color="8EAADB"/>
              <w:right w:val="nil"/>
            </w:tcBorders>
            <w:shd w:val="clear" w:color="auto" w:fill="auto"/>
            <w:noWrap/>
            <w:vAlign w:val="center"/>
            <w:hideMark/>
          </w:tcPr>
          <w:p w14:paraId="20632F3E"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     </w:t>
            </w:r>
          </w:p>
        </w:tc>
        <w:tc>
          <w:tcPr>
            <w:tcW w:w="527" w:type="pct"/>
            <w:tcBorders>
              <w:top w:val="nil"/>
              <w:left w:val="nil"/>
              <w:bottom w:val="single" w:sz="8" w:space="0" w:color="8EAADB"/>
              <w:right w:val="nil"/>
            </w:tcBorders>
            <w:shd w:val="clear" w:color="auto" w:fill="auto"/>
            <w:noWrap/>
            <w:vAlign w:val="center"/>
            <w:hideMark/>
          </w:tcPr>
          <w:p w14:paraId="18182635"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 </w:t>
            </w:r>
          </w:p>
        </w:tc>
        <w:tc>
          <w:tcPr>
            <w:tcW w:w="527" w:type="pct"/>
            <w:tcBorders>
              <w:top w:val="nil"/>
              <w:left w:val="nil"/>
              <w:bottom w:val="single" w:sz="8" w:space="0" w:color="8EAADB"/>
              <w:right w:val="nil"/>
            </w:tcBorders>
            <w:shd w:val="clear" w:color="auto" w:fill="auto"/>
            <w:noWrap/>
            <w:vAlign w:val="center"/>
            <w:hideMark/>
          </w:tcPr>
          <w:p w14:paraId="717E7A12"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w:t>
            </w:r>
          </w:p>
        </w:tc>
        <w:tc>
          <w:tcPr>
            <w:tcW w:w="527" w:type="pct"/>
            <w:tcBorders>
              <w:top w:val="nil"/>
              <w:left w:val="nil"/>
              <w:bottom w:val="single" w:sz="8" w:space="0" w:color="8EAADB"/>
              <w:right w:val="nil"/>
            </w:tcBorders>
            <w:shd w:val="clear" w:color="auto" w:fill="auto"/>
            <w:noWrap/>
            <w:vAlign w:val="center"/>
            <w:hideMark/>
          </w:tcPr>
          <w:p w14:paraId="1C1DF4EF"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w:t>
            </w:r>
          </w:p>
        </w:tc>
      </w:tr>
      <w:tr w:rsidR="00227AE1" w:rsidRPr="00393495" w14:paraId="7C9C3A09" w14:textId="77777777" w:rsidTr="00052435">
        <w:trPr>
          <w:trHeight w:val="238"/>
        </w:trPr>
        <w:tc>
          <w:tcPr>
            <w:tcW w:w="2363" w:type="pct"/>
            <w:tcBorders>
              <w:top w:val="nil"/>
              <w:left w:val="nil"/>
              <w:bottom w:val="single" w:sz="8" w:space="0" w:color="8EAADB"/>
              <w:right w:val="nil"/>
            </w:tcBorders>
            <w:shd w:val="clear" w:color="auto" w:fill="auto"/>
            <w:noWrap/>
            <w:vAlign w:val="center"/>
            <w:hideMark/>
          </w:tcPr>
          <w:p w14:paraId="6E9F451F"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Outras Receitas</w:t>
            </w:r>
          </w:p>
        </w:tc>
        <w:tc>
          <w:tcPr>
            <w:tcW w:w="527" w:type="pct"/>
            <w:tcBorders>
              <w:top w:val="nil"/>
              <w:left w:val="nil"/>
              <w:bottom w:val="single" w:sz="8" w:space="0" w:color="8EAADB"/>
              <w:right w:val="nil"/>
            </w:tcBorders>
            <w:shd w:val="clear" w:color="auto" w:fill="auto"/>
            <w:noWrap/>
            <w:vAlign w:val="center"/>
            <w:hideMark/>
          </w:tcPr>
          <w:p w14:paraId="6F2BA886"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14.496</w:t>
            </w:r>
          </w:p>
        </w:tc>
        <w:tc>
          <w:tcPr>
            <w:tcW w:w="527" w:type="pct"/>
            <w:tcBorders>
              <w:top w:val="nil"/>
              <w:left w:val="nil"/>
              <w:bottom w:val="single" w:sz="8" w:space="0" w:color="8EAADB"/>
              <w:right w:val="nil"/>
            </w:tcBorders>
            <w:shd w:val="clear" w:color="auto" w:fill="auto"/>
            <w:noWrap/>
            <w:vAlign w:val="center"/>
            <w:hideMark/>
          </w:tcPr>
          <w:p w14:paraId="78ED1D07"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6.888</w:t>
            </w:r>
          </w:p>
        </w:tc>
        <w:tc>
          <w:tcPr>
            <w:tcW w:w="527" w:type="pct"/>
            <w:tcBorders>
              <w:top w:val="nil"/>
              <w:left w:val="nil"/>
              <w:bottom w:val="single" w:sz="8" w:space="0" w:color="8EAADB"/>
              <w:right w:val="nil"/>
            </w:tcBorders>
            <w:shd w:val="clear" w:color="auto" w:fill="auto"/>
            <w:noWrap/>
            <w:vAlign w:val="center"/>
            <w:hideMark/>
          </w:tcPr>
          <w:p w14:paraId="3B7F9B97"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899</w:t>
            </w:r>
          </w:p>
        </w:tc>
        <w:tc>
          <w:tcPr>
            <w:tcW w:w="527" w:type="pct"/>
            <w:tcBorders>
              <w:top w:val="nil"/>
              <w:left w:val="nil"/>
              <w:bottom w:val="single" w:sz="8" w:space="0" w:color="8EAADB"/>
              <w:right w:val="nil"/>
            </w:tcBorders>
            <w:shd w:val="clear" w:color="auto" w:fill="auto"/>
            <w:noWrap/>
            <w:vAlign w:val="center"/>
            <w:hideMark/>
          </w:tcPr>
          <w:p w14:paraId="2980C80C"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110,5%</w:t>
            </w:r>
          </w:p>
        </w:tc>
        <w:tc>
          <w:tcPr>
            <w:tcW w:w="527" w:type="pct"/>
            <w:tcBorders>
              <w:top w:val="nil"/>
              <w:left w:val="nil"/>
              <w:bottom w:val="single" w:sz="8" w:space="0" w:color="8EAADB"/>
              <w:right w:val="nil"/>
            </w:tcBorders>
            <w:shd w:val="clear" w:color="auto" w:fill="auto"/>
            <w:noWrap/>
            <w:vAlign w:val="center"/>
            <w:hideMark/>
          </w:tcPr>
          <w:p w14:paraId="4C87462E"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1512,5%</w:t>
            </w:r>
          </w:p>
        </w:tc>
      </w:tr>
      <w:tr w:rsidR="00227AE1" w:rsidRPr="00393495" w14:paraId="3C739126" w14:textId="77777777" w:rsidTr="00052435">
        <w:trPr>
          <w:trHeight w:val="238"/>
        </w:trPr>
        <w:tc>
          <w:tcPr>
            <w:tcW w:w="2363" w:type="pct"/>
            <w:tcBorders>
              <w:top w:val="nil"/>
              <w:left w:val="nil"/>
              <w:bottom w:val="single" w:sz="8" w:space="0" w:color="8EAADB"/>
              <w:right w:val="nil"/>
            </w:tcBorders>
            <w:shd w:val="clear" w:color="auto" w:fill="auto"/>
            <w:noWrap/>
            <w:vAlign w:val="center"/>
            <w:hideMark/>
          </w:tcPr>
          <w:p w14:paraId="106B579E"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DEDUÇÕES DA RECEITA OPERACIONAL BRUTA </w:t>
            </w:r>
          </w:p>
        </w:tc>
        <w:tc>
          <w:tcPr>
            <w:tcW w:w="527" w:type="pct"/>
            <w:tcBorders>
              <w:top w:val="nil"/>
              <w:left w:val="nil"/>
              <w:bottom w:val="single" w:sz="8" w:space="0" w:color="8EAADB"/>
              <w:right w:val="nil"/>
            </w:tcBorders>
            <w:shd w:val="clear" w:color="auto" w:fill="auto"/>
            <w:noWrap/>
            <w:vAlign w:val="center"/>
            <w:hideMark/>
          </w:tcPr>
          <w:p w14:paraId="010D150E"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-53.212</w:t>
            </w:r>
          </w:p>
        </w:tc>
        <w:tc>
          <w:tcPr>
            <w:tcW w:w="527" w:type="pct"/>
            <w:tcBorders>
              <w:top w:val="nil"/>
              <w:left w:val="nil"/>
              <w:bottom w:val="single" w:sz="8" w:space="0" w:color="8EAADB"/>
              <w:right w:val="nil"/>
            </w:tcBorders>
            <w:shd w:val="clear" w:color="auto" w:fill="auto"/>
            <w:noWrap/>
            <w:vAlign w:val="center"/>
            <w:hideMark/>
          </w:tcPr>
          <w:p w14:paraId="6DED6697"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-55.662</w:t>
            </w:r>
          </w:p>
        </w:tc>
        <w:tc>
          <w:tcPr>
            <w:tcW w:w="527" w:type="pct"/>
            <w:tcBorders>
              <w:top w:val="nil"/>
              <w:left w:val="nil"/>
              <w:bottom w:val="single" w:sz="8" w:space="0" w:color="8EAADB"/>
              <w:right w:val="nil"/>
            </w:tcBorders>
            <w:shd w:val="clear" w:color="auto" w:fill="auto"/>
            <w:noWrap/>
            <w:vAlign w:val="center"/>
            <w:hideMark/>
          </w:tcPr>
          <w:p w14:paraId="4785AB03"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-58.569</w:t>
            </w:r>
          </w:p>
        </w:tc>
        <w:tc>
          <w:tcPr>
            <w:tcW w:w="527" w:type="pct"/>
            <w:tcBorders>
              <w:top w:val="nil"/>
              <w:left w:val="nil"/>
              <w:bottom w:val="single" w:sz="8" w:space="0" w:color="8EAADB"/>
              <w:right w:val="nil"/>
            </w:tcBorders>
            <w:shd w:val="clear" w:color="auto" w:fill="auto"/>
            <w:noWrap/>
            <w:vAlign w:val="center"/>
            <w:hideMark/>
          </w:tcPr>
          <w:p w14:paraId="6DFE76B7"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-4,4%</w:t>
            </w:r>
          </w:p>
        </w:tc>
        <w:tc>
          <w:tcPr>
            <w:tcW w:w="527" w:type="pct"/>
            <w:tcBorders>
              <w:top w:val="nil"/>
              <w:left w:val="nil"/>
              <w:bottom w:val="single" w:sz="8" w:space="0" w:color="8EAADB"/>
              <w:right w:val="nil"/>
            </w:tcBorders>
            <w:shd w:val="clear" w:color="auto" w:fill="auto"/>
            <w:noWrap/>
            <w:vAlign w:val="center"/>
            <w:hideMark/>
          </w:tcPr>
          <w:p w14:paraId="561D4882"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-9,1%</w:t>
            </w:r>
          </w:p>
        </w:tc>
      </w:tr>
      <w:tr w:rsidR="00227AE1" w:rsidRPr="00393495" w14:paraId="48EAB631" w14:textId="77777777" w:rsidTr="00052435">
        <w:trPr>
          <w:trHeight w:val="238"/>
        </w:trPr>
        <w:tc>
          <w:tcPr>
            <w:tcW w:w="2363" w:type="pct"/>
            <w:tcBorders>
              <w:top w:val="nil"/>
              <w:left w:val="nil"/>
              <w:bottom w:val="single" w:sz="8" w:space="0" w:color="8EAADB"/>
              <w:right w:val="nil"/>
            </w:tcBorders>
            <w:shd w:val="clear" w:color="auto" w:fill="auto"/>
            <w:noWrap/>
            <w:vAlign w:val="center"/>
            <w:hideMark/>
          </w:tcPr>
          <w:p w14:paraId="38942430"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Tributos s/ Receita Operacional Bruta</w:t>
            </w:r>
          </w:p>
        </w:tc>
        <w:tc>
          <w:tcPr>
            <w:tcW w:w="527" w:type="pct"/>
            <w:tcBorders>
              <w:top w:val="nil"/>
              <w:left w:val="nil"/>
              <w:bottom w:val="single" w:sz="8" w:space="0" w:color="8EAADB"/>
              <w:right w:val="nil"/>
            </w:tcBorders>
            <w:shd w:val="clear" w:color="auto" w:fill="auto"/>
            <w:noWrap/>
            <w:vAlign w:val="center"/>
            <w:hideMark/>
          </w:tcPr>
          <w:p w14:paraId="263D26EC"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-51.456</w:t>
            </w:r>
          </w:p>
        </w:tc>
        <w:tc>
          <w:tcPr>
            <w:tcW w:w="527" w:type="pct"/>
            <w:tcBorders>
              <w:top w:val="nil"/>
              <w:left w:val="nil"/>
              <w:bottom w:val="single" w:sz="8" w:space="0" w:color="8EAADB"/>
              <w:right w:val="nil"/>
            </w:tcBorders>
            <w:shd w:val="clear" w:color="auto" w:fill="auto"/>
            <w:noWrap/>
            <w:vAlign w:val="center"/>
            <w:hideMark/>
          </w:tcPr>
          <w:p w14:paraId="130AEB47"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-55.280</w:t>
            </w:r>
          </w:p>
        </w:tc>
        <w:tc>
          <w:tcPr>
            <w:tcW w:w="527" w:type="pct"/>
            <w:tcBorders>
              <w:top w:val="nil"/>
              <w:left w:val="nil"/>
              <w:bottom w:val="single" w:sz="8" w:space="0" w:color="8EAADB"/>
              <w:right w:val="nil"/>
            </w:tcBorders>
            <w:shd w:val="clear" w:color="auto" w:fill="auto"/>
            <w:noWrap/>
            <w:vAlign w:val="center"/>
            <w:hideMark/>
          </w:tcPr>
          <w:p w14:paraId="24F0B778"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-58.161</w:t>
            </w:r>
          </w:p>
        </w:tc>
        <w:tc>
          <w:tcPr>
            <w:tcW w:w="527" w:type="pct"/>
            <w:tcBorders>
              <w:top w:val="nil"/>
              <w:left w:val="nil"/>
              <w:bottom w:val="single" w:sz="8" w:space="0" w:color="8EAADB"/>
              <w:right w:val="nil"/>
            </w:tcBorders>
            <w:shd w:val="clear" w:color="auto" w:fill="auto"/>
            <w:noWrap/>
            <w:vAlign w:val="center"/>
            <w:hideMark/>
          </w:tcPr>
          <w:p w14:paraId="41BB44AB"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-6,9%</w:t>
            </w:r>
          </w:p>
        </w:tc>
        <w:tc>
          <w:tcPr>
            <w:tcW w:w="527" w:type="pct"/>
            <w:tcBorders>
              <w:top w:val="nil"/>
              <w:left w:val="nil"/>
              <w:bottom w:val="single" w:sz="8" w:space="0" w:color="8EAADB"/>
              <w:right w:val="nil"/>
            </w:tcBorders>
            <w:shd w:val="clear" w:color="auto" w:fill="auto"/>
            <w:noWrap/>
            <w:vAlign w:val="center"/>
            <w:hideMark/>
          </w:tcPr>
          <w:p w14:paraId="4846384D"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-11,5%</w:t>
            </w:r>
          </w:p>
        </w:tc>
      </w:tr>
      <w:tr w:rsidR="00227AE1" w:rsidRPr="00393495" w14:paraId="0CD0CAFA" w14:textId="77777777" w:rsidTr="00052435">
        <w:trPr>
          <w:trHeight w:val="238"/>
        </w:trPr>
        <w:tc>
          <w:tcPr>
            <w:tcW w:w="2363" w:type="pct"/>
            <w:tcBorders>
              <w:top w:val="nil"/>
              <w:left w:val="nil"/>
              <w:bottom w:val="single" w:sz="8" w:space="0" w:color="8EAADB"/>
              <w:right w:val="nil"/>
            </w:tcBorders>
            <w:shd w:val="clear" w:color="auto" w:fill="auto"/>
            <w:noWrap/>
            <w:vAlign w:val="center"/>
            <w:hideMark/>
          </w:tcPr>
          <w:p w14:paraId="6F5C55EE"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   Descontos Incondicionais/Outros</w:t>
            </w:r>
          </w:p>
        </w:tc>
        <w:tc>
          <w:tcPr>
            <w:tcW w:w="527" w:type="pct"/>
            <w:tcBorders>
              <w:top w:val="nil"/>
              <w:left w:val="nil"/>
              <w:bottom w:val="single" w:sz="8" w:space="0" w:color="8EAADB"/>
              <w:right w:val="nil"/>
            </w:tcBorders>
            <w:shd w:val="clear" w:color="auto" w:fill="auto"/>
            <w:noWrap/>
            <w:vAlign w:val="center"/>
            <w:hideMark/>
          </w:tcPr>
          <w:p w14:paraId="44598D63"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-1756</w:t>
            </w:r>
          </w:p>
        </w:tc>
        <w:tc>
          <w:tcPr>
            <w:tcW w:w="527" w:type="pct"/>
            <w:tcBorders>
              <w:top w:val="nil"/>
              <w:left w:val="nil"/>
              <w:bottom w:val="single" w:sz="8" w:space="0" w:color="8EAADB"/>
              <w:right w:val="nil"/>
            </w:tcBorders>
            <w:shd w:val="clear" w:color="auto" w:fill="auto"/>
            <w:noWrap/>
            <w:vAlign w:val="center"/>
            <w:hideMark/>
          </w:tcPr>
          <w:p w14:paraId="3A91E79B"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-382</w:t>
            </w:r>
          </w:p>
        </w:tc>
        <w:tc>
          <w:tcPr>
            <w:tcW w:w="527" w:type="pct"/>
            <w:tcBorders>
              <w:top w:val="nil"/>
              <w:left w:val="nil"/>
              <w:bottom w:val="single" w:sz="8" w:space="0" w:color="8EAADB"/>
              <w:right w:val="nil"/>
            </w:tcBorders>
            <w:shd w:val="clear" w:color="auto" w:fill="auto"/>
            <w:noWrap/>
            <w:vAlign w:val="center"/>
            <w:hideMark/>
          </w:tcPr>
          <w:p w14:paraId="0A6EFA95"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-408</w:t>
            </w:r>
          </w:p>
        </w:tc>
        <w:tc>
          <w:tcPr>
            <w:tcW w:w="527" w:type="pct"/>
            <w:tcBorders>
              <w:top w:val="nil"/>
              <w:left w:val="nil"/>
              <w:bottom w:val="single" w:sz="8" w:space="0" w:color="8EAADB"/>
              <w:right w:val="nil"/>
            </w:tcBorders>
            <w:shd w:val="clear" w:color="auto" w:fill="auto"/>
            <w:noWrap/>
            <w:vAlign w:val="center"/>
            <w:hideMark/>
          </w:tcPr>
          <w:p w14:paraId="5E8FCE5D"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359,7%</w:t>
            </w:r>
          </w:p>
        </w:tc>
        <w:tc>
          <w:tcPr>
            <w:tcW w:w="527" w:type="pct"/>
            <w:tcBorders>
              <w:top w:val="nil"/>
              <w:left w:val="nil"/>
              <w:bottom w:val="single" w:sz="8" w:space="0" w:color="8EAADB"/>
              <w:right w:val="nil"/>
            </w:tcBorders>
            <w:shd w:val="clear" w:color="auto" w:fill="auto"/>
            <w:noWrap/>
            <w:vAlign w:val="center"/>
            <w:hideMark/>
          </w:tcPr>
          <w:p w14:paraId="4DECB461"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330,4%</w:t>
            </w:r>
          </w:p>
        </w:tc>
      </w:tr>
      <w:tr w:rsidR="00227AE1" w:rsidRPr="00393495" w14:paraId="51AECE0C" w14:textId="77777777" w:rsidTr="00052435">
        <w:trPr>
          <w:trHeight w:val="238"/>
        </w:trPr>
        <w:tc>
          <w:tcPr>
            <w:tcW w:w="2363" w:type="pct"/>
            <w:tcBorders>
              <w:top w:val="nil"/>
              <w:left w:val="nil"/>
              <w:bottom w:val="single" w:sz="8" w:space="0" w:color="8EAADB"/>
              <w:right w:val="nil"/>
            </w:tcBorders>
            <w:shd w:val="clear" w:color="auto" w:fill="auto"/>
            <w:noWrap/>
            <w:vAlign w:val="center"/>
            <w:hideMark/>
          </w:tcPr>
          <w:p w14:paraId="41079536"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RECEITA OPERACIONAL LÍQUIDA</w:t>
            </w:r>
          </w:p>
        </w:tc>
        <w:tc>
          <w:tcPr>
            <w:tcW w:w="527" w:type="pct"/>
            <w:tcBorders>
              <w:top w:val="nil"/>
              <w:left w:val="nil"/>
              <w:bottom w:val="single" w:sz="8" w:space="0" w:color="8EAADB"/>
              <w:right w:val="nil"/>
            </w:tcBorders>
            <w:shd w:val="clear" w:color="auto" w:fill="auto"/>
            <w:noWrap/>
            <w:vAlign w:val="center"/>
            <w:hideMark/>
          </w:tcPr>
          <w:p w14:paraId="5AF421E4"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416.840</w:t>
            </w:r>
          </w:p>
        </w:tc>
        <w:tc>
          <w:tcPr>
            <w:tcW w:w="527" w:type="pct"/>
            <w:tcBorders>
              <w:top w:val="nil"/>
              <w:left w:val="nil"/>
              <w:bottom w:val="single" w:sz="8" w:space="0" w:color="8EAADB"/>
              <w:right w:val="nil"/>
            </w:tcBorders>
            <w:shd w:val="clear" w:color="auto" w:fill="auto"/>
            <w:noWrap/>
            <w:vAlign w:val="center"/>
            <w:hideMark/>
          </w:tcPr>
          <w:p w14:paraId="62C50988"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347.840</w:t>
            </w:r>
          </w:p>
        </w:tc>
        <w:tc>
          <w:tcPr>
            <w:tcW w:w="527" w:type="pct"/>
            <w:tcBorders>
              <w:top w:val="nil"/>
              <w:left w:val="nil"/>
              <w:bottom w:val="single" w:sz="8" w:space="0" w:color="8EAADB"/>
              <w:right w:val="nil"/>
            </w:tcBorders>
            <w:shd w:val="clear" w:color="auto" w:fill="auto"/>
            <w:noWrap/>
            <w:vAlign w:val="center"/>
            <w:hideMark/>
          </w:tcPr>
          <w:p w14:paraId="3C0BA137"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285.653</w:t>
            </w:r>
          </w:p>
        </w:tc>
        <w:tc>
          <w:tcPr>
            <w:tcW w:w="527" w:type="pct"/>
            <w:tcBorders>
              <w:top w:val="nil"/>
              <w:left w:val="nil"/>
              <w:bottom w:val="single" w:sz="8" w:space="0" w:color="8EAADB"/>
              <w:right w:val="nil"/>
            </w:tcBorders>
            <w:shd w:val="clear" w:color="auto" w:fill="auto"/>
            <w:noWrap/>
            <w:vAlign w:val="center"/>
            <w:hideMark/>
          </w:tcPr>
          <w:p w14:paraId="253489A8"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19,8%</w:t>
            </w:r>
          </w:p>
        </w:tc>
        <w:tc>
          <w:tcPr>
            <w:tcW w:w="527" w:type="pct"/>
            <w:tcBorders>
              <w:top w:val="nil"/>
              <w:left w:val="nil"/>
              <w:bottom w:val="single" w:sz="8" w:space="0" w:color="8EAADB"/>
              <w:right w:val="nil"/>
            </w:tcBorders>
            <w:shd w:val="clear" w:color="auto" w:fill="auto"/>
            <w:noWrap/>
            <w:vAlign w:val="center"/>
            <w:hideMark/>
          </w:tcPr>
          <w:p w14:paraId="6B91C13A"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45,9%</w:t>
            </w:r>
          </w:p>
        </w:tc>
      </w:tr>
    </w:tbl>
    <w:p w14:paraId="777D36F9" w14:textId="77777777" w:rsidR="00393495" w:rsidRDefault="00393495" w:rsidP="00087F48">
      <w:pPr>
        <w:spacing w:before="120" w:line="240" w:lineRule="auto"/>
        <w:rPr>
          <w:rFonts w:eastAsia="Arial"/>
          <w:sz w:val="22"/>
        </w:rPr>
      </w:pPr>
    </w:p>
    <w:p w14:paraId="05DDA263" w14:textId="0DF7D398" w:rsidR="003E0246" w:rsidRPr="003E0246" w:rsidRDefault="003E0246" w:rsidP="00087F48">
      <w:pPr>
        <w:spacing w:before="120" w:line="240" w:lineRule="auto"/>
        <w:rPr>
          <w:rFonts w:eastAsia="Arial"/>
          <w:sz w:val="22"/>
        </w:rPr>
      </w:pPr>
      <w:r w:rsidRPr="003E0246">
        <w:rPr>
          <w:rFonts w:eastAsia="Arial"/>
          <w:sz w:val="22"/>
        </w:rPr>
        <w:t>Em 2023 a Receita Operacional Líquida totalizou R$ 416,8 milhões, 19,8% superior à receita apresentada em 2022, que foi de R$ 347,8 milhões (R$ 285,7 milhões em 2021). O comportamento da receita bruta por serviço em 2023 em relação aos anos de 2022 e 2021 f</w:t>
      </w:r>
      <w:r w:rsidR="00227AE1">
        <w:rPr>
          <w:rFonts w:eastAsia="Arial"/>
          <w:sz w:val="22"/>
        </w:rPr>
        <w:t xml:space="preserve">oi o seguinte: </w:t>
      </w:r>
    </w:p>
    <w:p w14:paraId="25ADC53B" w14:textId="44E28006" w:rsidR="003E0246" w:rsidRPr="003E0246" w:rsidRDefault="003E0246" w:rsidP="00087F48">
      <w:pPr>
        <w:spacing w:before="120" w:line="240" w:lineRule="auto"/>
        <w:rPr>
          <w:rFonts w:eastAsia="Arial"/>
          <w:sz w:val="22"/>
        </w:rPr>
      </w:pPr>
      <w:r w:rsidRPr="003E0246">
        <w:rPr>
          <w:rFonts w:eastAsia="Arial"/>
          <w:b/>
          <w:sz w:val="22"/>
        </w:rPr>
        <w:t>Serviço de Comunicação Multimídia (SCM):</w:t>
      </w:r>
      <w:r w:rsidRPr="003E0246">
        <w:rPr>
          <w:rFonts w:eastAsia="Arial"/>
          <w:sz w:val="22"/>
        </w:rPr>
        <w:t xml:space="preserve"> Em 2023, esta receita apresentou crescimento de 10,5% na comparação com o exercício de 2022 e 25,8% em relação ao ano de 2021, explicado pelos seguintes eventos: i) aumento dos circuitos/pontos vinculados à geração de receita; </w:t>
      </w:r>
      <w:proofErr w:type="spellStart"/>
      <w:r w:rsidRPr="003E0246">
        <w:rPr>
          <w:rFonts w:eastAsia="Arial"/>
          <w:sz w:val="22"/>
        </w:rPr>
        <w:t>ii</w:t>
      </w:r>
      <w:proofErr w:type="spellEnd"/>
      <w:r w:rsidRPr="003E0246">
        <w:rPr>
          <w:rFonts w:eastAsia="Arial"/>
          <w:sz w:val="22"/>
        </w:rPr>
        <w:t xml:space="preserve">) crescimento da banda larga faturada no período; e </w:t>
      </w:r>
      <w:proofErr w:type="spellStart"/>
      <w:r w:rsidRPr="003E0246">
        <w:rPr>
          <w:rFonts w:eastAsia="Arial"/>
          <w:sz w:val="22"/>
        </w:rPr>
        <w:t>iii</w:t>
      </w:r>
      <w:proofErr w:type="spellEnd"/>
      <w:r w:rsidRPr="003E0246">
        <w:rPr>
          <w:rFonts w:eastAsia="Arial"/>
          <w:sz w:val="22"/>
        </w:rPr>
        <w:t>) pelo efeito de reajustes dos contratos no decorrer dos ex</w:t>
      </w:r>
      <w:r w:rsidR="00227AE1">
        <w:rPr>
          <w:rFonts w:eastAsia="Arial"/>
          <w:sz w:val="22"/>
        </w:rPr>
        <w:t xml:space="preserve">ercícios de 2021, 2022 e 2023. </w:t>
      </w:r>
    </w:p>
    <w:p w14:paraId="02FA41CF" w14:textId="1ABF1F4A" w:rsidR="003E0246" w:rsidRPr="003E0246" w:rsidRDefault="003E0246" w:rsidP="00087F48">
      <w:pPr>
        <w:spacing w:before="120" w:line="240" w:lineRule="auto"/>
        <w:rPr>
          <w:rFonts w:eastAsia="Arial"/>
          <w:sz w:val="22"/>
        </w:rPr>
      </w:pPr>
      <w:r w:rsidRPr="003E0246">
        <w:rPr>
          <w:rFonts w:eastAsia="Arial"/>
          <w:b/>
          <w:bCs/>
          <w:sz w:val="22"/>
        </w:rPr>
        <w:t>Locação de Capacidade Satelital:</w:t>
      </w:r>
      <w:r w:rsidRPr="003E0246">
        <w:rPr>
          <w:rFonts w:eastAsia="Arial"/>
          <w:sz w:val="22"/>
        </w:rPr>
        <w:t xml:space="preserve"> este produto permaneceu estável na comparação entre o exercício de 2023 e os períodos comparados, </w:t>
      </w:r>
      <w:r w:rsidR="00227AE1">
        <w:rPr>
          <w:rFonts w:eastAsia="Arial"/>
          <w:sz w:val="22"/>
        </w:rPr>
        <w:t>com receita de R$ 36,5 milhões.</w:t>
      </w:r>
    </w:p>
    <w:p w14:paraId="0BFB603F" w14:textId="5022FCEF" w:rsidR="003E0246" w:rsidRPr="003E0246" w:rsidRDefault="003E0246" w:rsidP="00087F48">
      <w:pPr>
        <w:spacing w:before="120" w:line="240" w:lineRule="auto"/>
        <w:rPr>
          <w:rFonts w:eastAsia="Arial"/>
          <w:sz w:val="22"/>
        </w:rPr>
      </w:pPr>
      <w:r w:rsidRPr="003E0246">
        <w:rPr>
          <w:rFonts w:eastAsia="Arial"/>
          <w:b/>
          <w:bCs/>
          <w:sz w:val="22"/>
        </w:rPr>
        <w:t>Aluguéis e Locações – Outras:</w:t>
      </w:r>
      <w:r w:rsidRPr="003E0246">
        <w:rPr>
          <w:rFonts w:eastAsia="Arial"/>
          <w:sz w:val="22"/>
        </w:rPr>
        <w:t xml:space="preserve">  compreende o aluguel de cabos ópticos, locação de roteadores e aluguel de infraestrutura do segmento satelital (contrato de parceria com a </w:t>
      </w:r>
      <w:proofErr w:type="spellStart"/>
      <w:r w:rsidRPr="003E0246">
        <w:rPr>
          <w:rFonts w:eastAsia="Arial"/>
          <w:sz w:val="22"/>
        </w:rPr>
        <w:t>Viasat</w:t>
      </w:r>
      <w:proofErr w:type="spellEnd"/>
      <w:r w:rsidRPr="003E0246">
        <w:rPr>
          <w:rFonts w:eastAsia="Arial"/>
          <w:sz w:val="22"/>
        </w:rPr>
        <w:t xml:space="preserve">). Nos 12M23, a receita reconhecida nessa rubrica totalizou R$ 24,5 milhões (R$ 22,1 milhões em 2022 e R$ 16,4 milhões em 2021), aumento de </w:t>
      </w:r>
      <w:r w:rsidR="00227AE1">
        <w:rPr>
          <w:rFonts w:eastAsia="Arial"/>
          <w:sz w:val="22"/>
        </w:rPr>
        <w:t>12,7% e 53,0%, respectivamente.</w:t>
      </w:r>
    </w:p>
    <w:p w14:paraId="586344FA" w14:textId="515AEF3F" w:rsidR="003E0246" w:rsidRPr="003E0246" w:rsidRDefault="003E0246" w:rsidP="00087F48">
      <w:pPr>
        <w:spacing w:before="120" w:line="240" w:lineRule="auto"/>
        <w:rPr>
          <w:rFonts w:eastAsia="Arial"/>
          <w:sz w:val="22"/>
        </w:rPr>
      </w:pPr>
      <w:r w:rsidRPr="003E0246">
        <w:rPr>
          <w:rFonts w:eastAsia="Arial"/>
          <w:b/>
          <w:bCs/>
          <w:sz w:val="22"/>
        </w:rPr>
        <w:lastRenderedPageBreak/>
        <w:t>Compartilhamento de Receitas:</w:t>
      </w:r>
      <w:r w:rsidRPr="003E0246">
        <w:rPr>
          <w:rFonts w:eastAsia="Arial"/>
          <w:sz w:val="22"/>
        </w:rPr>
        <w:t xml:space="preserve"> No ano de 2023, a Telebras reconheceu o montante de R$ 19,6 milhões (R$ 15,5 milhões em 2022 e R$ 7,1 milhões em 2021). O crescimento é explicado pelo maior volume de recursos recebidos da </w:t>
      </w:r>
      <w:proofErr w:type="spellStart"/>
      <w:r w:rsidRPr="003E0246">
        <w:rPr>
          <w:rFonts w:eastAsia="Arial"/>
          <w:sz w:val="22"/>
        </w:rPr>
        <w:t>Viasat</w:t>
      </w:r>
      <w:proofErr w:type="spellEnd"/>
      <w:r w:rsidRPr="003E0246">
        <w:rPr>
          <w:rFonts w:eastAsia="Arial"/>
          <w:sz w:val="22"/>
        </w:rPr>
        <w:t xml:space="preserve"> no período, devido ao crescimento do fa</w:t>
      </w:r>
      <w:r w:rsidR="00227AE1">
        <w:rPr>
          <w:rFonts w:eastAsia="Arial"/>
          <w:sz w:val="22"/>
        </w:rPr>
        <w:t xml:space="preserve">turamento da empresa parceira. </w:t>
      </w:r>
    </w:p>
    <w:p w14:paraId="5EBF6115" w14:textId="63484C0B" w:rsidR="003E0246" w:rsidRPr="003E0246" w:rsidRDefault="003E0246" w:rsidP="00087F48">
      <w:pPr>
        <w:spacing w:before="120" w:line="240" w:lineRule="auto"/>
        <w:rPr>
          <w:rFonts w:eastAsia="Arial"/>
          <w:sz w:val="22"/>
        </w:rPr>
      </w:pPr>
      <w:r w:rsidRPr="003E0246">
        <w:rPr>
          <w:rFonts w:eastAsia="Arial"/>
          <w:b/>
          <w:sz w:val="22"/>
        </w:rPr>
        <w:t>Serviço de Valor Adicionado:</w:t>
      </w:r>
      <w:r w:rsidRPr="003E0246">
        <w:rPr>
          <w:rFonts w:eastAsia="Arial"/>
          <w:sz w:val="22"/>
        </w:rPr>
        <w:t xml:space="preserve"> Em 2023, a Companhia reconheceu o montante de R$ 18,1 milhões de receita de SVA relativa ao contrato de prestação de serviços firmado com o INSS </w:t>
      </w:r>
      <w:proofErr w:type="gramStart"/>
      <w:r w:rsidRPr="003E0246">
        <w:rPr>
          <w:rFonts w:eastAsia="Arial"/>
          <w:sz w:val="22"/>
        </w:rPr>
        <w:t>e também</w:t>
      </w:r>
      <w:proofErr w:type="gramEnd"/>
      <w:r w:rsidRPr="003E0246">
        <w:rPr>
          <w:rFonts w:eastAsia="Arial"/>
          <w:sz w:val="22"/>
        </w:rPr>
        <w:t xml:space="preserve"> referente à participação da Telebras na receita de serviço da </w:t>
      </w:r>
      <w:proofErr w:type="spellStart"/>
      <w:r w:rsidRPr="003E0246">
        <w:rPr>
          <w:rFonts w:eastAsia="Arial"/>
          <w:sz w:val="22"/>
        </w:rPr>
        <w:t>Viasat</w:t>
      </w:r>
      <w:proofErr w:type="spellEnd"/>
      <w:r w:rsidRPr="003E0246">
        <w:rPr>
          <w:rFonts w:eastAsia="Arial"/>
          <w:sz w:val="22"/>
        </w:rPr>
        <w:t xml:space="preserve"> sobre os serviços de disponibilização de aplicativo de acesso a livros, </w:t>
      </w:r>
      <w:r w:rsidR="00227AE1">
        <w:rPr>
          <w:rFonts w:eastAsia="Arial"/>
          <w:sz w:val="22"/>
        </w:rPr>
        <w:t>jornais, revistas e streamings.</w:t>
      </w:r>
    </w:p>
    <w:p w14:paraId="2B5DF2F2" w14:textId="446BFE2E" w:rsidR="003E0246" w:rsidRPr="00087F48" w:rsidRDefault="003E0246" w:rsidP="00087F48">
      <w:pPr>
        <w:spacing w:before="120" w:line="240" w:lineRule="auto"/>
        <w:rPr>
          <w:rFonts w:eastAsia="Arial"/>
          <w:sz w:val="22"/>
        </w:rPr>
      </w:pPr>
      <w:r w:rsidRPr="003E0246">
        <w:rPr>
          <w:rFonts w:eastAsia="Arial"/>
          <w:b/>
          <w:bCs/>
          <w:sz w:val="22"/>
        </w:rPr>
        <w:t>Outras Receitas:</w:t>
      </w:r>
      <w:r w:rsidRPr="003E0246">
        <w:rPr>
          <w:rFonts w:eastAsia="Arial"/>
          <w:sz w:val="22"/>
        </w:rPr>
        <w:t xml:space="preserve"> Representa o valor reconhecido relativo aos serviços prestados de instalação e manutenção do programa Wi-Fi Brasil. O montante reconhecido em 2023 foi de R$ 14,5 milhões (R$ 6,9 milhões em 2022 e R$ 0,1 milhões em 2021), crescimento de 110,5% e 1.512,5%, respectivamente. Esse aumento é explicado pelo </w:t>
      </w:r>
      <w:r w:rsidR="00227AE1">
        <w:rPr>
          <w:rFonts w:eastAsia="Arial"/>
          <w:sz w:val="22"/>
        </w:rPr>
        <w:t xml:space="preserve">aumento dos pontos instalados. </w:t>
      </w:r>
    </w:p>
    <w:p w14:paraId="4E3DED01" w14:textId="6D5E8421" w:rsidR="003E0246" w:rsidRPr="00087F48" w:rsidRDefault="003E0246" w:rsidP="00087F48">
      <w:pPr>
        <w:pStyle w:val="Ttulo3"/>
        <w:ind w:left="709" w:hanging="709"/>
        <w:rPr>
          <w:b w:val="0"/>
        </w:rPr>
      </w:pPr>
      <w:bookmarkStart w:id="11" w:name="_Toc161319434"/>
      <w:r w:rsidRPr="00087F48">
        <w:t>Custos e Despesas Vinculadas às Funções: Custo dos Serviços Prestados, Comercialização dos Serviços e Despesas Gerais e Administrativas (Exceto Depreciação e Amortização)</w:t>
      </w:r>
      <w:bookmarkEnd w:id="11"/>
    </w:p>
    <w:tbl>
      <w:tblPr>
        <w:tblW w:w="4987" w:type="pct"/>
        <w:tblCellMar>
          <w:left w:w="70" w:type="dxa"/>
          <w:right w:w="70" w:type="dxa"/>
        </w:tblCellMar>
        <w:tblLook w:val="04A0" w:firstRow="1" w:lastRow="0" w:firstColumn="1" w:lastColumn="0" w:noHBand="0" w:noVBand="1"/>
      </w:tblPr>
      <w:tblGrid>
        <w:gridCol w:w="4631"/>
        <w:gridCol w:w="923"/>
        <w:gridCol w:w="970"/>
        <w:gridCol w:w="970"/>
        <w:gridCol w:w="778"/>
        <w:gridCol w:w="776"/>
      </w:tblGrid>
      <w:tr w:rsidR="00227AE1" w:rsidRPr="00457198" w14:paraId="01FC6C20" w14:textId="77777777" w:rsidTr="00087F48">
        <w:trPr>
          <w:trHeight w:val="241"/>
        </w:trPr>
        <w:tc>
          <w:tcPr>
            <w:tcW w:w="2559" w:type="pct"/>
            <w:tcBorders>
              <w:top w:val="single" w:sz="8" w:space="0" w:color="9BC2E6"/>
              <w:left w:val="nil"/>
              <w:bottom w:val="single" w:sz="8" w:space="0" w:color="9BC2E6"/>
              <w:right w:val="nil"/>
            </w:tcBorders>
            <w:shd w:val="clear" w:color="000000" w:fill="FFFFFF"/>
            <w:noWrap/>
            <w:vAlign w:val="center"/>
            <w:hideMark/>
          </w:tcPr>
          <w:p w14:paraId="00E1419C" w14:textId="77777777" w:rsidR="00227AE1" w:rsidRPr="00087F48" w:rsidRDefault="00227AE1" w:rsidP="00227AE1">
            <w:pPr>
              <w:tabs>
                <w:tab w:val="clear" w:pos="851"/>
              </w:tabs>
              <w:spacing w:before="0" w:after="0" w:line="240" w:lineRule="auto"/>
              <w:jc w:val="left"/>
              <w:rPr>
                <w:rFonts w:ascii="Arial" w:hAnsi="Arial" w:cs="Arial"/>
                <w:b/>
                <w:bCs/>
                <w:color w:val="2F75B5"/>
                <w:sz w:val="16"/>
                <w:szCs w:val="18"/>
                <w:lang w:eastAsia="pt-BR"/>
              </w:rPr>
            </w:pPr>
            <w:r w:rsidRPr="00087F48">
              <w:rPr>
                <w:rFonts w:ascii="Arial" w:hAnsi="Arial" w:cs="Arial"/>
                <w:b/>
                <w:bCs/>
                <w:color w:val="2F75B5"/>
                <w:sz w:val="16"/>
                <w:szCs w:val="18"/>
                <w:lang w:eastAsia="pt-BR"/>
              </w:rPr>
              <w:t>R$ mil</w:t>
            </w:r>
          </w:p>
        </w:tc>
        <w:tc>
          <w:tcPr>
            <w:tcW w:w="510" w:type="pct"/>
            <w:tcBorders>
              <w:top w:val="single" w:sz="8" w:space="0" w:color="9BC2E6"/>
              <w:left w:val="nil"/>
              <w:bottom w:val="single" w:sz="8" w:space="0" w:color="9BC2E6"/>
              <w:right w:val="nil"/>
            </w:tcBorders>
            <w:shd w:val="clear" w:color="auto" w:fill="auto"/>
            <w:vAlign w:val="center"/>
            <w:hideMark/>
          </w:tcPr>
          <w:p w14:paraId="5C9EB39E" w14:textId="77777777" w:rsidR="00227AE1" w:rsidRPr="00087F48" w:rsidRDefault="00227AE1" w:rsidP="00227AE1">
            <w:pPr>
              <w:tabs>
                <w:tab w:val="clear" w:pos="851"/>
              </w:tabs>
              <w:spacing w:before="0" w:after="0" w:line="240" w:lineRule="auto"/>
              <w:jc w:val="center"/>
              <w:rPr>
                <w:rFonts w:ascii="Arial" w:hAnsi="Arial" w:cs="Arial"/>
                <w:b/>
                <w:bCs/>
                <w:color w:val="2E74B5"/>
                <w:sz w:val="16"/>
                <w:szCs w:val="18"/>
                <w:lang w:eastAsia="pt-BR"/>
              </w:rPr>
            </w:pPr>
            <w:r w:rsidRPr="00087F48">
              <w:rPr>
                <w:rFonts w:ascii="Arial" w:hAnsi="Arial" w:cs="Arial"/>
                <w:b/>
                <w:bCs/>
                <w:color w:val="2E74B5"/>
                <w:sz w:val="16"/>
                <w:szCs w:val="18"/>
                <w:lang w:eastAsia="pt-BR"/>
              </w:rPr>
              <w:t>2023</w:t>
            </w:r>
          </w:p>
        </w:tc>
        <w:tc>
          <w:tcPr>
            <w:tcW w:w="536" w:type="pct"/>
            <w:tcBorders>
              <w:top w:val="single" w:sz="8" w:space="0" w:color="9BC2E6"/>
              <w:left w:val="nil"/>
              <w:bottom w:val="single" w:sz="8" w:space="0" w:color="9BC2E6"/>
              <w:right w:val="nil"/>
            </w:tcBorders>
            <w:shd w:val="clear" w:color="auto" w:fill="auto"/>
            <w:vAlign w:val="center"/>
            <w:hideMark/>
          </w:tcPr>
          <w:p w14:paraId="4F5DAC36" w14:textId="77777777" w:rsidR="00227AE1" w:rsidRPr="00087F48" w:rsidRDefault="00227AE1" w:rsidP="00227AE1">
            <w:pPr>
              <w:tabs>
                <w:tab w:val="clear" w:pos="851"/>
              </w:tabs>
              <w:spacing w:before="0" w:after="0" w:line="240" w:lineRule="auto"/>
              <w:jc w:val="center"/>
              <w:rPr>
                <w:rFonts w:ascii="Arial" w:hAnsi="Arial" w:cs="Arial"/>
                <w:b/>
                <w:bCs/>
                <w:color w:val="2E74B5"/>
                <w:sz w:val="16"/>
                <w:szCs w:val="18"/>
                <w:lang w:eastAsia="pt-BR"/>
              </w:rPr>
            </w:pPr>
            <w:r w:rsidRPr="00087F48">
              <w:rPr>
                <w:rFonts w:ascii="Arial" w:hAnsi="Arial" w:cs="Arial"/>
                <w:b/>
                <w:bCs/>
                <w:color w:val="2E74B5"/>
                <w:sz w:val="16"/>
                <w:szCs w:val="18"/>
                <w:lang w:eastAsia="pt-BR"/>
              </w:rPr>
              <w:t>2022</w:t>
            </w:r>
          </w:p>
        </w:tc>
        <w:tc>
          <w:tcPr>
            <w:tcW w:w="536" w:type="pct"/>
            <w:tcBorders>
              <w:top w:val="single" w:sz="8" w:space="0" w:color="9BC2E6"/>
              <w:left w:val="nil"/>
              <w:bottom w:val="single" w:sz="8" w:space="0" w:color="9BC2E6"/>
              <w:right w:val="nil"/>
            </w:tcBorders>
            <w:shd w:val="clear" w:color="auto" w:fill="auto"/>
            <w:vAlign w:val="center"/>
            <w:hideMark/>
          </w:tcPr>
          <w:p w14:paraId="57A46391" w14:textId="77777777" w:rsidR="00227AE1" w:rsidRPr="00087F48" w:rsidRDefault="00227AE1" w:rsidP="00227AE1">
            <w:pPr>
              <w:tabs>
                <w:tab w:val="clear" w:pos="851"/>
              </w:tabs>
              <w:spacing w:before="0" w:after="0" w:line="240" w:lineRule="auto"/>
              <w:jc w:val="center"/>
              <w:rPr>
                <w:rFonts w:ascii="Arial" w:hAnsi="Arial" w:cs="Arial"/>
                <w:b/>
                <w:bCs/>
                <w:color w:val="2E74B5"/>
                <w:sz w:val="16"/>
                <w:szCs w:val="18"/>
                <w:lang w:eastAsia="pt-BR"/>
              </w:rPr>
            </w:pPr>
            <w:r w:rsidRPr="00087F48">
              <w:rPr>
                <w:rFonts w:ascii="Arial" w:hAnsi="Arial" w:cs="Arial"/>
                <w:b/>
                <w:bCs/>
                <w:color w:val="2E74B5"/>
                <w:sz w:val="16"/>
                <w:szCs w:val="18"/>
                <w:lang w:eastAsia="pt-BR"/>
              </w:rPr>
              <w:t>2021</w:t>
            </w:r>
          </w:p>
        </w:tc>
        <w:tc>
          <w:tcPr>
            <w:tcW w:w="430" w:type="pct"/>
            <w:tcBorders>
              <w:top w:val="single" w:sz="8" w:space="0" w:color="9BC2E6"/>
              <w:left w:val="nil"/>
              <w:bottom w:val="single" w:sz="8" w:space="0" w:color="9BC2E6"/>
              <w:right w:val="nil"/>
            </w:tcBorders>
            <w:shd w:val="clear" w:color="000000" w:fill="FFFFFF"/>
            <w:vAlign w:val="center"/>
            <w:hideMark/>
          </w:tcPr>
          <w:p w14:paraId="588C843F"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2022</w:t>
            </w:r>
          </w:p>
        </w:tc>
        <w:tc>
          <w:tcPr>
            <w:tcW w:w="430" w:type="pct"/>
            <w:tcBorders>
              <w:top w:val="single" w:sz="8" w:space="0" w:color="9BC2E6"/>
              <w:left w:val="nil"/>
              <w:bottom w:val="single" w:sz="8" w:space="0" w:color="9BC2E6"/>
              <w:right w:val="nil"/>
            </w:tcBorders>
            <w:shd w:val="clear" w:color="000000" w:fill="FFFFFF"/>
            <w:vAlign w:val="center"/>
            <w:hideMark/>
          </w:tcPr>
          <w:p w14:paraId="21BA452C"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2021</w:t>
            </w:r>
          </w:p>
        </w:tc>
      </w:tr>
      <w:tr w:rsidR="00227AE1" w:rsidRPr="00457198" w14:paraId="2E210A30" w14:textId="77777777" w:rsidTr="00087F48">
        <w:trPr>
          <w:trHeight w:val="241"/>
        </w:trPr>
        <w:tc>
          <w:tcPr>
            <w:tcW w:w="2559" w:type="pct"/>
            <w:tcBorders>
              <w:top w:val="nil"/>
              <w:left w:val="nil"/>
              <w:bottom w:val="single" w:sz="8" w:space="0" w:color="9BC2E6"/>
              <w:right w:val="nil"/>
            </w:tcBorders>
            <w:shd w:val="clear" w:color="auto" w:fill="auto"/>
            <w:noWrap/>
            <w:vAlign w:val="center"/>
            <w:hideMark/>
          </w:tcPr>
          <w:p w14:paraId="4BCCB182"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Serviços de Terceiros</w:t>
            </w:r>
          </w:p>
        </w:tc>
        <w:tc>
          <w:tcPr>
            <w:tcW w:w="510" w:type="pct"/>
            <w:tcBorders>
              <w:top w:val="nil"/>
              <w:left w:val="nil"/>
              <w:bottom w:val="single" w:sz="8" w:space="0" w:color="9BC2E6"/>
              <w:right w:val="nil"/>
            </w:tcBorders>
            <w:shd w:val="clear" w:color="auto" w:fill="auto"/>
            <w:noWrap/>
            <w:vAlign w:val="center"/>
            <w:hideMark/>
          </w:tcPr>
          <w:p w14:paraId="06C2B6AD"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(159.570)</w:t>
            </w:r>
          </w:p>
        </w:tc>
        <w:tc>
          <w:tcPr>
            <w:tcW w:w="536" w:type="pct"/>
            <w:tcBorders>
              <w:top w:val="nil"/>
              <w:left w:val="nil"/>
              <w:bottom w:val="single" w:sz="8" w:space="0" w:color="9BC2E6"/>
              <w:right w:val="nil"/>
            </w:tcBorders>
            <w:shd w:val="clear" w:color="auto" w:fill="auto"/>
            <w:noWrap/>
            <w:vAlign w:val="center"/>
            <w:hideMark/>
          </w:tcPr>
          <w:p w14:paraId="76E6CB48"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(109.165)</w:t>
            </w:r>
          </w:p>
        </w:tc>
        <w:tc>
          <w:tcPr>
            <w:tcW w:w="536" w:type="pct"/>
            <w:tcBorders>
              <w:top w:val="nil"/>
              <w:left w:val="nil"/>
              <w:bottom w:val="single" w:sz="8" w:space="0" w:color="9BC2E6"/>
              <w:right w:val="nil"/>
            </w:tcBorders>
            <w:shd w:val="clear" w:color="auto" w:fill="auto"/>
            <w:noWrap/>
            <w:vAlign w:val="center"/>
            <w:hideMark/>
          </w:tcPr>
          <w:p w14:paraId="0F119174"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(84.088)</w:t>
            </w:r>
          </w:p>
        </w:tc>
        <w:tc>
          <w:tcPr>
            <w:tcW w:w="430" w:type="pct"/>
            <w:tcBorders>
              <w:top w:val="nil"/>
              <w:left w:val="nil"/>
              <w:bottom w:val="single" w:sz="8" w:space="0" w:color="9BC2E6"/>
              <w:right w:val="nil"/>
            </w:tcBorders>
            <w:shd w:val="clear" w:color="auto" w:fill="auto"/>
            <w:noWrap/>
            <w:vAlign w:val="center"/>
            <w:hideMark/>
          </w:tcPr>
          <w:p w14:paraId="3005D234"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46,2%</w:t>
            </w:r>
          </w:p>
        </w:tc>
        <w:tc>
          <w:tcPr>
            <w:tcW w:w="430" w:type="pct"/>
            <w:tcBorders>
              <w:top w:val="nil"/>
              <w:left w:val="nil"/>
              <w:bottom w:val="single" w:sz="8" w:space="0" w:color="9BC2E6"/>
              <w:right w:val="nil"/>
            </w:tcBorders>
            <w:shd w:val="clear" w:color="auto" w:fill="auto"/>
            <w:noWrap/>
            <w:vAlign w:val="center"/>
            <w:hideMark/>
          </w:tcPr>
          <w:p w14:paraId="6A5DDE2B"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89,8%</w:t>
            </w:r>
          </w:p>
        </w:tc>
      </w:tr>
      <w:tr w:rsidR="00227AE1" w:rsidRPr="00457198" w14:paraId="36F4EF1E" w14:textId="77777777" w:rsidTr="00087F48">
        <w:trPr>
          <w:trHeight w:val="241"/>
        </w:trPr>
        <w:tc>
          <w:tcPr>
            <w:tcW w:w="2559" w:type="pct"/>
            <w:tcBorders>
              <w:top w:val="nil"/>
              <w:left w:val="nil"/>
              <w:bottom w:val="nil"/>
              <w:right w:val="nil"/>
            </w:tcBorders>
            <w:shd w:val="clear" w:color="auto" w:fill="auto"/>
            <w:noWrap/>
            <w:vAlign w:val="center"/>
            <w:hideMark/>
          </w:tcPr>
          <w:p w14:paraId="4490A2DD"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Meios de Conexão e Transmissão</w:t>
            </w:r>
          </w:p>
        </w:tc>
        <w:tc>
          <w:tcPr>
            <w:tcW w:w="510" w:type="pct"/>
            <w:tcBorders>
              <w:top w:val="nil"/>
              <w:left w:val="nil"/>
              <w:bottom w:val="nil"/>
              <w:right w:val="nil"/>
            </w:tcBorders>
            <w:shd w:val="clear" w:color="auto" w:fill="auto"/>
            <w:noWrap/>
            <w:vAlign w:val="center"/>
            <w:hideMark/>
          </w:tcPr>
          <w:p w14:paraId="7BC4C070"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(136.851)</w:t>
            </w:r>
          </w:p>
        </w:tc>
        <w:tc>
          <w:tcPr>
            <w:tcW w:w="536" w:type="pct"/>
            <w:tcBorders>
              <w:top w:val="nil"/>
              <w:left w:val="nil"/>
              <w:bottom w:val="nil"/>
              <w:right w:val="nil"/>
            </w:tcBorders>
            <w:shd w:val="clear" w:color="auto" w:fill="auto"/>
            <w:noWrap/>
            <w:vAlign w:val="center"/>
            <w:hideMark/>
          </w:tcPr>
          <w:p w14:paraId="461785D1"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(127.727)</w:t>
            </w:r>
          </w:p>
        </w:tc>
        <w:tc>
          <w:tcPr>
            <w:tcW w:w="536" w:type="pct"/>
            <w:tcBorders>
              <w:top w:val="nil"/>
              <w:left w:val="nil"/>
              <w:bottom w:val="nil"/>
              <w:right w:val="nil"/>
            </w:tcBorders>
            <w:shd w:val="clear" w:color="auto" w:fill="auto"/>
            <w:noWrap/>
            <w:vAlign w:val="center"/>
            <w:hideMark/>
          </w:tcPr>
          <w:p w14:paraId="0F7589F5"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(116.669)</w:t>
            </w:r>
          </w:p>
        </w:tc>
        <w:tc>
          <w:tcPr>
            <w:tcW w:w="430" w:type="pct"/>
            <w:tcBorders>
              <w:top w:val="nil"/>
              <w:left w:val="nil"/>
              <w:bottom w:val="single" w:sz="8" w:space="0" w:color="8EAADB"/>
              <w:right w:val="nil"/>
            </w:tcBorders>
            <w:shd w:val="clear" w:color="auto" w:fill="auto"/>
            <w:noWrap/>
            <w:vAlign w:val="center"/>
            <w:hideMark/>
          </w:tcPr>
          <w:p w14:paraId="2B3A261D"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7,1%</w:t>
            </w:r>
          </w:p>
        </w:tc>
        <w:tc>
          <w:tcPr>
            <w:tcW w:w="430" w:type="pct"/>
            <w:tcBorders>
              <w:top w:val="nil"/>
              <w:left w:val="nil"/>
              <w:bottom w:val="single" w:sz="8" w:space="0" w:color="8EAADB"/>
              <w:right w:val="nil"/>
            </w:tcBorders>
            <w:shd w:val="clear" w:color="auto" w:fill="auto"/>
            <w:noWrap/>
            <w:vAlign w:val="center"/>
            <w:hideMark/>
          </w:tcPr>
          <w:p w14:paraId="70D50385"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17,3%</w:t>
            </w:r>
          </w:p>
        </w:tc>
      </w:tr>
      <w:tr w:rsidR="00227AE1" w:rsidRPr="00457198" w14:paraId="6A30630C" w14:textId="77777777" w:rsidTr="00087F48">
        <w:trPr>
          <w:trHeight w:val="241"/>
        </w:trPr>
        <w:tc>
          <w:tcPr>
            <w:tcW w:w="2559" w:type="pct"/>
            <w:tcBorders>
              <w:top w:val="single" w:sz="8" w:space="0" w:color="9BC2E6"/>
              <w:left w:val="nil"/>
              <w:bottom w:val="single" w:sz="8" w:space="0" w:color="9BC2E6"/>
              <w:right w:val="nil"/>
            </w:tcBorders>
            <w:shd w:val="clear" w:color="auto" w:fill="auto"/>
            <w:noWrap/>
            <w:vAlign w:val="center"/>
            <w:hideMark/>
          </w:tcPr>
          <w:p w14:paraId="6D8617A7"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Pessoal </w:t>
            </w:r>
          </w:p>
        </w:tc>
        <w:tc>
          <w:tcPr>
            <w:tcW w:w="510" w:type="pct"/>
            <w:tcBorders>
              <w:top w:val="single" w:sz="8" w:space="0" w:color="9BC2E6"/>
              <w:left w:val="nil"/>
              <w:bottom w:val="single" w:sz="8" w:space="0" w:color="9BC2E6"/>
              <w:right w:val="nil"/>
            </w:tcBorders>
            <w:shd w:val="clear" w:color="auto" w:fill="auto"/>
            <w:noWrap/>
            <w:vAlign w:val="center"/>
            <w:hideMark/>
          </w:tcPr>
          <w:p w14:paraId="4C4665FE"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(106.908)</w:t>
            </w:r>
          </w:p>
        </w:tc>
        <w:tc>
          <w:tcPr>
            <w:tcW w:w="536" w:type="pct"/>
            <w:tcBorders>
              <w:top w:val="single" w:sz="8" w:space="0" w:color="9BC2E6"/>
              <w:left w:val="nil"/>
              <w:bottom w:val="single" w:sz="8" w:space="0" w:color="9BC2E6"/>
              <w:right w:val="nil"/>
            </w:tcBorders>
            <w:shd w:val="clear" w:color="auto" w:fill="auto"/>
            <w:noWrap/>
            <w:vAlign w:val="center"/>
            <w:hideMark/>
          </w:tcPr>
          <w:p w14:paraId="43C392B8"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(97.129)</w:t>
            </w:r>
          </w:p>
        </w:tc>
        <w:tc>
          <w:tcPr>
            <w:tcW w:w="536" w:type="pct"/>
            <w:tcBorders>
              <w:top w:val="single" w:sz="8" w:space="0" w:color="9BC2E6"/>
              <w:left w:val="nil"/>
              <w:bottom w:val="single" w:sz="8" w:space="0" w:color="9BC2E6"/>
              <w:right w:val="nil"/>
            </w:tcBorders>
            <w:shd w:val="clear" w:color="auto" w:fill="auto"/>
            <w:noWrap/>
            <w:vAlign w:val="center"/>
            <w:hideMark/>
          </w:tcPr>
          <w:p w14:paraId="40E087B1"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(85.729)</w:t>
            </w:r>
          </w:p>
        </w:tc>
        <w:tc>
          <w:tcPr>
            <w:tcW w:w="430" w:type="pct"/>
            <w:tcBorders>
              <w:top w:val="nil"/>
              <w:left w:val="nil"/>
              <w:bottom w:val="single" w:sz="8" w:space="0" w:color="9BC2E6"/>
              <w:right w:val="nil"/>
            </w:tcBorders>
            <w:shd w:val="clear" w:color="auto" w:fill="auto"/>
            <w:noWrap/>
            <w:vAlign w:val="center"/>
            <w:hideMark/>
          </w:tcPr>
          <w:p w14:paraId="00C26BE5"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10,1%</w:t>
            </w:r>
          </w:p>
        </w:tc>
        <w:tc>
          <w:tcPr>
            <w:tcW w:w="430" w:type="pct"/>
            <w:tcBorders>
              <w:top w:val="nil"/>
              <w:left w:val="nil"/>
              <w:bottom w:val="single" w:sz="8" w:space="0" w:color="9BC2E6"/>
              <w:right w:val="nil"/>
            </w:tcBorders>
            <w:shd w:val="clear" w:color="auto" w:fill="auto"/>
            <w:noWrap/>
            <w:vAlign w:val="center"/>
            <w:hideMark/>
          </w:tcPr>
          <w:p w14:paraId="3DB1D475"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24,7%</w:t>
            </w:r>
          </w:p>
        </w:tc>
      </w:tr>
      <w:tr w:rsidR="00227AE1" w:rsidRPr="00457198" w14:paraId="6C32D9A3" w14:textId="77777777" w:rsidTr="00087F48">
        <w:trPr>
          <w:trHeight w:val="241"/>
        </w:trPr>
        <w:tc>
          <w:tcPr>
            <w:tcW w:w="2559" w:type="pct"/>
            <w:tcBorders>
              <w:top w:val="nil"/>
              <w:left w:val="nil"/>
              <w:bottom w:val="single" w:sz="8" w:space="0" w:color="9BC2E6"/>
              <w:right w:val="nil"/>
            </w:tcBorders>
            <w:shd w:val="clear" w:color="auto" w:fill="auto"/>
            <w:noWrap/>
            <w:vAlign w:val="center"/>
            <w:hideMark/>
          </w:tcPr>
          <w:p w14:paraId="5D54A0CB"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Aluguéis, Locações e Seguros</w:t>
            </w:r>
          </w:p>
        </w:tc>
        <w:tc>
          <w:tcPr>
            <w:tcW w:w="510" w:type="pct"/>
            <w:tcBorders>
              <w:top w:val="nil"/>
              <w:left w:val="nil"/>
              <w:bottom w:val="single" w:sz="8" w:space="0" w:color="9BC2E6"/>
              <w:right w:val="nil"/>
            </w:tcBorders>
            <w:shd w:val="clear" w:color="auto" w:fill="auto"/>
            <w:noWrap/>
            <w:vAlign w:val="center"/>
            <w:hideMark/>
          </w:tcPr>
          <w:p w14:paraId="12A978FF"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(50.936)</w:t>
            </w:r>
          </w:p>
        </w:tc>
        <w:tc>
          <w:tcPr>
            <w:tcW w:w="536" w:type="pct"/>
            <w:tcBorders>
              <w:top w:val="nil"/>
              <w:left w:val="nil"/>
              <w:bottom w:val="single" w:sz="8" w:space="0" w:color="9BC2E6"/>
              <w:right w:val="nil"/>
            </w:tcBorders>
            <w:shd w:val="clear" w:color="auto" w:fill="auto"/>
            <w:noWrap/>
            <w:vAlign w:val="center"/>
            <w:hideMark/>
          </w:tcPr>
          <w:p w14:paraId="0A937BAC"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(48.463)</w:t>
            </w:r>
          </w:p>
        </w:tc>
        <w:tc>
          <w:tcPr>
            <w:tcW w:w="536" w:type="pct"/>
            <w:tcBorders>
              <w:top w:val="nil"/>
              <w:left w:val="nil"/>
              <w:bottom w:val="single" w:sz="8" w:space="0" w:color="9BC2E6"/>
              <w:right w:val="nil"/>
            </w:tcBorders>
            <w:shd w:val="clear" w:color="auto" w:fill="auto"/>
            <w:noWrap/>
            <w:vAlign w:val="center"/>
            <w:hideMark/>
          </w:tcPr>
          <w:p w14:paraId="56FC2F54"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(48.186)</w:t>
            </w:r>
          </w:p>
        </w:tc>
        <w:tc>
          <w:tcPr>
            <w:tcW w:w="430" w:type="pct"/>
            <w:tcBorders>
              <w:top w:val="nil"/>
              <w:left w:val="nil"/>
              <w:bottom w:val="single" w:sz="8" w:space="0" w:color="9BC2E6"/>
              <w:right w:val="nil"/>
            </w:tcBorders>
            <w:shd w:val="clear" w:color="auto" w:fill="auto"/>
            <w:noWrap/>
            <w:vAlign w:val="center"/>
            <w:hideMark/>
          </w:tcPr>
          <w:p w14:paraId="23B08C0C"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5,1%</w:t>
            </w:r>
          </w:p>
        </w:tc>
        <w:tc>
          <w:tcPr>
            <w:tcW w:w="430" w:type="pct"/>
            <w:tcBorders>
              <w:top w:val="nil"/>
              <w:left w:val="nil"/>
              <w:bottom w:val="single" w:sz="8" w:space="0" w:color="9BC2E6"/>
              <w:right w:val="nil"/>
            </w:tcBorders>
            <w:shd w:val="clear" w:color="auto" w:fill="auto"/>
            <w:noWrap/>
            <w:vAlign w:val="center"/>
            <w:hideMark/>
          </w:tcPr>
          <w:p w14:paraId="46F97CBB"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5,7%</w:t>
            </w:r>
          </w:p>
        </w:tc>
      </w:tr>
      <w:tr w:rsidR="00227AE1" w:rsidRPr="00457198" w14:paraId="1BAEFEA1" w14:textId="77777777" w:rsidTr="00087F48">
        <w:trPr>
          <w:trHeight w:val="241"/>
        </w:trPr>
        <w:tc>
          <w:tcPr>
            <w:tcW w:w="2559" w:type="pct"/>
            <w:tcBorders>
              <w:top w:val="nil"/>
              <w:left w:val="nil"/>
              <w:bottom w:val="single" w:sz="8" w:space="0" w:color="9BC2E6"/>
              <w:right w:val="nil"/>
            </w:tcBorders>
            <w:shd w:val="clear" w:color="auto" w:fill="auto"/>
            <w:noWrap/>
            <w:vAlign w:val="center"/>
            <w:hideMark/>
          </w:tcPr>
          <w:p w14:paraId="75D43BE5"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Compartilhamento de Instalações</w:t>
            </w:r>
          </w:p>
        </w:tc>
        <w:tc>
          <w:tcPr>
            <w:tcW w:w="510" w:type="pct"/>
            <w:tcBorders>
              <w:top w:val="nil"/>
              <w:left w:val="nil"/>
              <w:bottom w:val="single" w:sz="8" w:space="0" w:color="9BC2E6"/>
              <w:right w:val="nil"/>
            </w:tcBorders>
            <w:shd w:val="clear" w:color="auto" w:fill="auto"/>
            <w:noWrap/>
            <w:vAlign w:val="center"/>
            <w:hideMark/>
          </w:tcPr>
          <w:p w14:paraId="6A0ABFCB"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(5.379)</w:t>
            </w:r>
          </w:p>
        </w:tc>
        <w:tc>
          <w:tcPr>
            <w:tcW w:w="536" w:type="pct"/>
            <w:tcBorders>
              <w:top w:val="nil"/>
              <w:left w:val="nil"/>
              <w:bottom w:val="single" w:sz="8" w:space="0" w:color="9BC2E6"/>
              <w:right w:val="nil"/>
            </w:tcBorders>
            <w:shd w:val="clear" w:color="auto" w:fill="auto"/>
            <w:noWrap/>
            <w:vAlign w:val="center"/>
            <w:hideMark/>
          </w:tcPr>
          <w:p w14:paraId="396CB579"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(4.345)</w:t>
            </w:r>
          </w:p>
        </w:tc>
        <w:tc>
          <w:tcPr>
            <w:tcW w:w="536" w:type="pct"/>
            <w:tcBorders>
              <w:top w:val="nil"/>
              <w:left w:val="nil"/>
              <w:bottom w:val="single" w:sz="8" w:space="0" w:color="9BC2E6"/>
              <w:right w:val="nil"/>
            </w:tcBorders>
            <w:shd w:val="clear" w:color="auto" w:fill="auto"/>
            <w:noWrap/>
            <w:vAlign w:val="center"/>
            <w:hideMark/>
          </w:tcPr>
          <w:p w14:paraId="1A7ABDEC"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(3.538)</w:t>
            </w:r>
          </w:p>
        </w:tc>
        <w:tc>
          <w:tcPr>
            <w:tcW w:w="430" w:type="pct"/>
            <w:tcBorders>
              <w:top w:val="nil"/>
              <w:left w:val="nil"/>
              <w:bottom w:val="single" w:sz="8" w:space="0" w:color="9BC2E6"/>
              <w:right w:val="nil"/>
            </w:tcBorders>
            <w:shd w:val="clear" w:color="auto" w:fill="auto"/>
            <w:noWrap/>
            <w:vAlign w:val="center"/>
            <w:hideMark/>
          </w:tcPr>
          <w:p w14:paraId="71D4CDD7"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23,8%</w:t>
            </w:r>
          </w:p>
        </w:tc>
        <w:tc>
          <w:tcPr>
            <w:tcW w:w="430" w:type="pct"/>
            <w:tcBorders>
              <w:top w:val="nil"/>
              <w:left w:val="nil"/>
              <w:bottom w:val="single" w:sz="8" w:space="0" w:color="9BC2E6"/>
              <w:right w:val="nil"/>
            </w:tcBorders>
            <w:shd w:val="clear" w:color="auto" w:fill="auto"/>
            <w:noWrap/>
            <w:vAlign w:val="center"/>
            <w:hideMark/>
          </w:tcPr>
          <w:p w14:paraId="0BE99969"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52,0%</w:t>
            </w:r>
          </w:p>
        </w:tc>
      </w:tr>
      <w:tr w:rsidR="00227AE1" w:rsidRPr="00457198" w14:paraId="73529599" w14:textId="77777777" w:rsidTr="00087F48">
        <w:trPr>
          <w:trHeight w:val="241"/>
        </w:trPr>
        <w:tc>
          <w:tcPr>
            <w:tcW w:w="2559" w:type="pct"/>
            <w:tcBorders>
              <w:top w:val="nil"/>
              <w:left w:val="nil"/>
              <w:bottom w:val="single" w:sz="8" w:space="0" w:color="9BC2E6"/>
              <w:right w:val="nil"/>
            </w:tcBorders>
            <w:shd w:val="clear" w:color="auto" w:fill="auto"/>
            <w:noWrap/>
            <w:vAlign w:val="center"/>
            <w:hideMark/>
          </w:tcPr>
          <w:p w14:paraId="236B23C8"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Tributos</w:t>
            </w:r>
          </w:p>
        </w:tc>
        <w:tc>
          <w:tcPr>
            <w:tcW w:w="510" w:type="pct"/>
            <w:tcBorders>
              <w:top w:val="nil"/>
              <w:left w:val="nil"/>
              <w:bottom w:val="single" w:sz="8" w:space="0" w:color="9BC2E6"/>
              <w:right w:val="nil"/>
            </w:tcBorders>
            <w:shd w:val="clear" w:color="auto" w:fill="auto"/>
            <w:noWrap/>
            <w:vAlign w:val="center"/>
            <w:hideMark/>
          </w:tcPr>
          <w:p w14:paraId="60487975"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(5.296)</w:t>
            </w:r>
          </w:p>
        </w:tc>
        <w:tc>
          <w:tcPr>
            <w:tcW w:w="536" w:type="pct"/>
            <w:tcBorders>
              <w:top w:val="nil"/>
              <w:left w:val="nil"/>
              <w:bottom w:val="single" w:sz="8" w:space="0" w:color="9BC2E6"/>
              <w:right w:val="nil"/>
            </w:tcBorders>
            <w:shd w:val="clear" w:color="auto" w:fill="auto"/>
            <w:noWrap/>
            <w:vAlign w:val="center"/>
            <w:hideMark/>
          </w:tcPr>
          <w:p w14:paraId="57687A7C"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(4.791)</w:t>
            </w:r>
          </w:p>
        </w:tc>
        <w:tc>
          <w:tcPr>
            <w:tcW w:w="536" w:type="pct"/>
            <w:tcBorders>
              <w:top w:val="nil"/>
              <w:left w:val="nil"/>
              <w:bottom w:val="single" w:sz="8" w:space="0" w:color="9BC2E6"/>
              <w:right w:val="nil"/>
            </w:tcBorders>
            <w:shd w:val="clear" w:color="auto" w:fill="auto"/>
            <w:noWrap/>
            <w:vAlign w:val="center"/>
            <w:hideMark/>
          </w:tcPr>
          <w:p w14:paraId="5E2FBFFC"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(5.804)</w:t>
            </w:r>
          </w:p>
        </w:tc>
        <w:tc>
          <w:tcPr>
            <w:tcW w:w="430" w:type="pct"/>
            <w:tcBorders>
              <w:top w:val="nil"/>
              <w:left w:val="nil"/>
              <w:bottom w:val="single" w:sz="8" w:space="0" w:color="9BC2E6"/>
              <w:right w:val="nil"/>
            </w:tcBorders>
            <w:shd w:val="clear" w:color="auto" w:fill="auto"/>
            <w:noWrap/>
            <w:vAlign w:val="center"/>
            <w:hideMark/>
          </w:tcPr>
          <w:p w14:paraId="68E517B0"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10,5%</w:t>
            </w:r>
          </w:p>
        </w:tc>
        <w:tc>
          <w:tcPr>
            <w:tcW w:w="430" w:type="pct"/>
            <w:tcBorders>
              <w:top w:val="nil"/>
              <w:left w:val="nil"/>
              <w:bottom w:val="single" w:sz="8" w:space="0" w:color="9BC2E6"/>
              <w:right w:val="nil"/>
            </w:tcBorders>
            <w:shd w:val="clear" w:color="auto" w:fill="auto"/>
            <w:noWrap/>
            <w:vAlign w:val="center"/>
            <w:hideMark/>
          </w:tcPr>
          <w:p w14:paraId="37CA9F6B"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-8,8%</w:t>
            </w:r>
          </w:p>
        </w:tc>
      </w:tr>
      <w:tr w:rsidR="00227AE1" w:rsidRPr="00457198" w14:paraId="18D6F569" w14:textId="77777777" w:rsidTr="00087F48">
        <w:trPr>
          <w:trHeight w:val="241"/>
        </w:trPr>
        <w:tc>
          <w:tcPr>
            <w:tcW w:w="2559" w:type="pct"/>
            <w:tcBorders>
              <w:top w:val="nil"/>
              <w:left w:val="nil"/>
              <w:bottom w:val="single" w:sz="8" w:space="0" w:color="9BC2E6"/>
              <w:right w:val="nil"/>
            </w:tcBorders>
            <w:shd w:val="clear" w:color="auto" w:fill="auto"/>
            <w:noWrap/>
            <w:vAlign w:val="center"/>
            <w:hideMark/>
          </w:tcPr>
          <w:p w14:paraId="42420498"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 xml:space="preserve">Materiais </w:t>
            </w:r>
          </w:p>
        </w:tc>
        <w:tc>
          <w:tcPr>
            <w:tcW w:w="510" w:type="pct"/>
            <w:tcBorders>
              <w:top w:val="nil"/>
              <w:left w:val="nil"/>
              <w:bottom w:val="single" w:sz="8" w:space="0" w:color="9BC2E6"/>
              <w:right w:val="nil"/>
            </w:tcBorders>
            <w:shd w:val="clear" w:color="auto" w:fill="auto"/>
            <w:noWrap/>
            <w:vAlign w:val="center"/>
            <w:hideMark/>
          </w:tcPr>
          <w:p w14:paraId="79B7185A"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(2.181)</w:t>
            </w:r>
          </w:p>
        </w:tc>
        <w:tc>
          <w:tcPr>
            <w:tcW w:w="536" w:type="pct"/>
            <w:tcBorders>
              <w:top w:val="nil"/>
              <w:left w:val="nil"/>
              <w:bottom w:val="single" w:sz="8" w:space="0" w:color="9BC2E6"/>
              <w:right w:val="nil"/>
            </w:tcBorders>
            <w:shd w:val="clear" w:color="auto" w:fill="auto"/>
            <w:noWrap/>
            <w:vAlign w:val="center"/>
            <w:hideMark/>
          </w:tcPr>
          <w:p w14:paraId="002E2C6F"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(2.019)</w:t>
            </w:r>
          </w:p>
        </w:tc>
        <w:tc>
          <w:tcPr>
            <w:tcW w:w="536" w:type="pct"/>
            <w:tcBorders>
              <w:top w:val="nil"/>
              <w:left w:val="nil"/>
              <w:bottom w:val="single" w:sz="8" w:space="0" w:color="9BC2E6"/>
              <w:right w:val="nil"/>
            </w:tcBorders>
            <w:shd w:val="clear" w:color="auto" w:fill="auto"/>
            <w:noWrap/>
            <w:vAlign w:val="center"/>
            <w:hideMark/>
          </w:tcPr>
          <w:p w14:paraId="066B5BFE"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(3.903)</w:t>
            </w:r>
          </w:p>
        </w:tc>
        <w:tc>
          <w:tcPr>
            <w:tcW w:w="430" w:type="pct"/>
            <w:tcBorders>
              <w:top w:val="nil"/>
              <w:left w:val="nil"/>
              <w:bottom w:val="single" w:sz="8" w:space="0" w:color="9BC2E6"/>
              <w:right w:val="nil"/>
            </w:tcBorders>
            <w:shd w:val="clear" w:color="auto" w:fill="auto"/>
            <w:noWrap/>
            <w:vAlign w:val="center"/>
            <w:hideMark/>
          </w:tcPr>
          <w:p w14:paraId="5FB4E58E"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8,0%</w:t>
            </w:r>
          </w:p>
        </w:tc>
        <w:tc>
          <w:tcPr>
            <w:tcW w:w="430" w:type="pct"/>
            <w:tcBorders>
              <w:top w:val="nil"/>
              <w:left w:val="nil"/>
              <w:bottom w:val="single" w:sz="8" w:space="0" w:color="9BC2E6"/>
              <w:right w:val="nil"/>
            </w:tcBorders>
            <w:shd w:val="clear" w:color="auto" w:fill="auto"/>
            <w:noWrap/>
            <w:vAlign w:val="center"/>
            <w:hideMark/>
          </w:tcPr>
          <w:p w14:paraId="39D76F55"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-44,1%</w:t>
            </w:r>
          </w:p>
        </w:tc>
      </w:tr>
      <w:tr w:rsidR="00227AE1" w:rsidRPr="00457198" w14:paraId="3584EB65" w14:textId="77777777" w:rsidTr="00087F48">
        <w:trPr>
          <w:trHeight w:val="241"/>
        </w:trPr>
        <w:tc>
          <w:tcPr>
            <w:tcW w:w="2559" w:type="pct"/>
            <w:tcBorders>
              <w:top w:val="nil"/>
              <w:left w:val="nil"/>
              <w:bottom w:val="single" w:sz="8" w:space="0" w:color="9BC2E6"/>
              <w:right w:val="nil"/>
            </w:tcBorders>
            <w:shd w:val="clear" w:color="auto" w:fill="auto"/>
            <w:noWrap/>
            <w:vAlign w:val="center"/>
            <w:hideMark/>
          </w:tcPr>
          <w:p w14:paraId="09917558"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Perda Estimada com Crédito de Liquidação Duvidosa</w:t>
            </w:r>
          </w:p>
        </w:tc>
        <w:tc>
          <w:tcPr>
            <w:tcW w:w="510" w:type="pct"/>
            <w:tcBorders>
              <w:top w:val="nil"/>
              <w:left w:val="nil"/>
              <w:bottom w:val="single" w:sz="8" w:space="0" w:color="9BC2E6"/>
              <w:right w:val="nil"/>
            </w:tcBorders>
            <w:shd w:val="clear" w:color="auto" w:fill="auto"/>
            <w:noWrap/>
            <w:vAlign w:val="center"/>
            <w:hideMark/>
          </w:tcPr>
          <w:p w14:paraId="2C4F6D4A"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(1.314)</w:t>
            </w:r>
          </w:p>
        </w:tc>
        <w:tc>
          <w:tcPr>
            <w:tcW w:w="536" w:type="pct"/>
            <w:tcBorders>
              <w:top w:val="nil"/>
              <w:left w:val="nil"/>
              <w:bottom w:val="single" w:sz="8" w:space="0" w:color="9BC2E6"/>
              <w:right w:val="nil"/>
            </w:tcBorders>
            <w:shd w:val="clear" w:color="auto" w:fill="auto"/>
            <w:noWrap/>
            <w:vAlign w:val="center"/>
            <w:hideMark/>
          </w:tcPr>
          <w:p w14:paraId="7E206BD2"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1.042 </w:t>
            </w:r>
          </w:p>
        </w:tc>
        <w:tc>
          <w:tcPr>
            <w:tcW w:w="536" w:type="pct"/>
            <w:tcBorders>
              <w:top w:val="nil"/>
              <w:left w:val="nil"/>
              <w:bottom w:val="single" w:sz="8" w:space="0" w:color="9BC2E6"/>
              <w:right w:val="nil"/>
            </w:tcBorders>
            <w:shd w:val="clear" w:color="auto" w:fill="auto"/>
            <w:noWrap/>
            <w:vAlign w:val="center"/>
            <w:hideMark/>
          </w:tcPr>
          <w:p w14:paraId="3CD5637B"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515 </w:t>
            </w:r>
          </w:p>
        </w:tc>
        <w:tc>
          <w:tcPr>
            <w:tcW w:w="430" w:type="pct"/>
            <w:tcBorders>
              <w:top w:val="nil"/>
              <w:left w:val="nil"/>
              <w:bottom w:val="single" w:sz="8" w:space="0" w:color="9BC2E6"/>
              <w:right w:val="nil"/>
            </w:tcBorders>
            <w:shd w:val="clear" w:color="auto" w:fill="auto"/>
            <w:noWrap/>
            <w:vAlign w:val="center"/>
            <w:hideMark/>
          </w:tcPr>
          <w:p w14:paraId="615639D4"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-226,1%</w:t>
            </w:r>
          </w:p>
        </w:tc>
        <w:tc>
          <w:tcPr>
            <w:tcW w:w="430" w:type="pct"/>
            <w:tcBorders>
              <w:top w:val="nil"/>
              <w:left w:val="nil"/>
              <w:bottom w:val="single" w:sz="8" w:space="0" w:color="9BC2E6"/>
              <w:right w:val="nil"/>
            </w:tcBorders>
            <w:shd w:val="clear" w:color="auto" w:fill="auto"/>
            <w:noWrap/>
            <w:vAlign w:val="center"/>
            <w:hideMark/>
          </w:tcPr>
          <w:p w14:paraId="43F5532E"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-355,1%</w:t>
            </w:r>
          </w:p>
        </w:tc>
      </w:tr>
      <w:tr w:rsidR="00227AE1" w:rsidRPr="00457198" w14:paraId="7AF434F9" w14:textId="77777777" w:rsidTr="00087F48">
        <w:trPr>
          <w:trHeight w:val="241"/>
        </w:trPr>
        <w:tc>
          <w:tcPr>
            <w:tcW w:w="2559" w:type="pct"/>
            <w:tcBorders>
              <w:top w:val="nil"/>
              <w:left w:val="nil"/>
              <w:bottom w:val="single" w:sz="8" w:space="0" w:color="9BC2E6"/>
              <w:right w:val="nil"/>
            </w:tcBorders>
            <w:shd w:val="clear" w:color="auto" w:fill="auto"/>
            <w:noWrap/>
            <w:vAlign w:val="center"/>
            <w:hideMark/>
          </w:tcPr>
          <w:p w14:paraId="474759CF"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Programa de Indenização por Serviços Prestados (PISP)</w:t>
            </w:r>
          </w:p>
        </w:tc>
        <w:tc>
          <w:tcPr>
            <w:tcW w:w="510" w:type="pct"/>
            <w:tcBorders>
              <w:top w:val="nil"/>
              <w:left w:val="nil"/>
              <w:bottom w:val="single" w:sz="8" w:space="0" w:color="9BC2E6"/>
              <w:right w:val="nil"/>
            </w:tcBorders>
            <w:shd w:val="clear" w:color="auto" w:fill="auto"/>
            <w:noWrap/>
            <w:vAlign w:val="center"/>
            <w:hideMark/>
          </w:tcPr>
          <w:p w14:paraId="174D250E"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(1.231)</w:t>
            </w:r>
          </w:p>
        </w:tc>
        <w:tc>
          <w:tcPr>
            <w:tcW w:w="536" w:type="pct"/>
            <w:tcBorders>
              <w:top w:val="nil"/>
              <w:left w:val="nil"/>
              <w:bottom w:val="single" w:sz="8" w:space="0" w:color="9BC2E6"/>
              <w:right w:val="nil"/>
            </w:tcBorders>
            <w:shd w:val="clear" w:color="auto" w:fill="auto"/>
            <w:noWrap/>
            <w:vAlign w:val="center"/>
            <w:hideMark/>
          </w:tcPr>
          <w:p w14:paraId="05934F2C"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(1.361)</w:t>
            </w:r>
          </w:p>
        </w:tc>
        <w:tc>
          <w:tcPr>
            <w:tcW w:w="536" w:type="pct"/>
            <w:tcBorders>
              <w:top w:val="nil"/>
              <w:left w:val="nil"/>
              <w:bottom w:val="single" w:sz="8" w:space="0" w:color="9BC2E6"/>
              <w:right w:val="nil"/>
            </w:tcBorders>
            <w:shd w:val="clear" w:color="auto" w:fill="auto"/>
            <w:noWrap/>
            <w:vAlign w:val="center"/>
            <w:hideMark/>
          </w:tcPr>
          <w:p w14:paraId="7F511097"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(644)</w:t>
            </w:r>
          </w:p>
        </w:tc>
        <w:tc>
          <w:tcPr>
            <w:tcW w:w="430" w:type="pct"/>
            <w:tcBorders>
              <w:top w:val="nil"/>
              <w:left w:val="nil"/>
              <w:bottom w:val="single" w:sz="8" w:space="0" w:color="9BC2E6"/>
              <w:right w:val="nil"/>
            </w:tcBorders>
            <w:shd w:val="clear" w:color="auto" w:fill="auto"/>
            <w:noWrap/>
            <w:vAlign w:val="center"/>
            <w:hideMark/>
          </w:tcPr>
          <w:p w14:paraId="63F6673E"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-9,6%</w:t>
            </w:r>
          </w:p>
        </w:tc>
        <w:tc>
          <w:tcPr>
            <w:tcW w:w="430" w:type="pct"/>
            <w:tcBorders>
              <w:top w:val="nil"/>
              <w:left w:val="nil"/>
              <w:bottom w:val="single" w:sz="8" w:space="0" w:color="9BC2E6"/>
              <w:right w:val="nil"/>
            </w:tcBorders>
            <w:shd w:val="clear" w:color="auto" w:fill="auto"/>
            <w:noWrap/>
            <w:vAlign w:val="center"/>
            <w:hideMark/>
          </w:tcPr>
          <w:p w14:paraId="7EE38F0F"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91,1%</w:t>
            </w:r>
          </w:p>
        </w:tc>
      </w:tr>
      <w:tr w:rsidR="00227AE1" w:rsidRPr="00457198" w14:paraId="338F91F0" w14:textId="77777777" w:rsidTr="00087F48">
        <w:trPr>
          <w:trHeight w:val="241"/>
        </w:trPr>
        <w:tc>
          <w:tcPr>
            <w:tcW w:w="2559" w:type="pct"/>
            <w:tcBorders>
              <w:top w:val="nil"/>
              <w:left w:val="nil"/>
              <w:bottom w:val="single" w:sz="8" w:space="0" w:color="9BC2E6"/>
              <w:right w:val="nil"/>
            </w:tcBorders>
            <w:shd w:val="clear" w:color="auto" w:fill="auto"/>
            <w:noWrap/>
            <w:vAlign w:val="center"/>
            <w:hideMark/>
          </w:tcPr>
          <w:p w14:paraId="05A11E7C"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8"/>
                <w:lang w:eastAsia="pt-BR"/>
              </w:rPr>
            </w:pPr>
            <w:r w:rsidRPr="00087F48">
              <w:rPr>
                <w:rFonts w:ascii="Arial" w:hAnsi="Arial" w:cs="Arial"/>
                <w:b/>
                <w:bCs/>
                <w:color w:val="000000"/>
                <w:sz w:val="16"/>
                <w:szCs w:val="18"/>
                <w:lang w:eastAsia="pt-BR"/>
              </w:rPr>
              <w:t>Total</w:t>
            </w:r>
          </w:p>
        </w:tc>
        <w:tc>
          <w:tcPr>
            <w:tcW w:w="510" w:type="pct"/>
            <w:tcBorders>
              <w:top w:val="nil"/>
              <w:left w:val="nil"/>
              <w:bottom w:val="single" w:sz="8" w:space="0" w:color="9BC2E6"/>
              <w:right w:val="nil"/>
            </w:tcBorders>
            <w:shd w:val="clear" w:color="auto" w:fill="auto"/>
            <w:noWrap/>
            <w:vAlign w:val="center"/>
            <w:hideMark/>
          </w:tcPr>
          <w:p w14:paraId="111B2F6D"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(469.666)</w:t>
            </w:r>
          </w:p>
        </w:tc>
        <w:tc>
          <w:tcPr>
            <w:tcW w:w="536" w:type="pct"/>
            <w:tcBorders>
              <w:top w:val="nil"/>
              <w:left w:val="nil"/>
              <w:bottom w:val="single" w:sz="8" w:space="0" w:color="9BC2E6"/>
              <w:right w:val="nil"/>
            </w:tcBorders>
            <w:shd w:val="clear" w:color="auto" w:fill="auto"/>
            <w:noWrap/>
            <w:vAlign w:val="center"/>
            <w:hideMark/>
          </w:tcPr>
          <w:p w14:paraId="5AF71ACC"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(393.958)</w:t>
            </w:r>
          </w:p>
        </w:tc>
        <w:tc>
          <w:tcPr>
            <w:tcW w:w="536" w:type="pct"/>
            <w:tcBorders>
              <w:top w:val="nil"/>
              <w:left w:val="nil"/>
              <w:bottom w:val="single" w:sz="8" w:space="0" w:color="9BC2E6"/>
              <w:right w:val="nil"/>
            </w:tcBorders>
            <w:shd w:val="clear" w:color="auto" w:fill="auto"/>
            <w:noWrap/>
            <w:vAlign w:val="center"/>
            <w:hideMark/>
          </w:tcPr>
          <w:p w14:paraId="54CBF8C6"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(348.046)</w:t>
            </w:r>
          </w:p>
        </w:tc>
        <w:tc>
          <w:tcPr>
            <w:tcW w:w="430" w:type="pct"/>
            <w:tcBorders>
              <w:top w:val="nil"/>
              <w:left w:val="nil"/>
              <w:bottom w:val="single" w:sz="8" w:space="0" w:color="9BC2E6"/>
              <w:right w:val="nil"/>
            </w:tcBorders>
            <w:shd w:val="clear" w:color="auto" w:fill="auto"/>
            <w:noWrap/>
            <w:vAlign w:val="center"/>
            <w:hideMark/>
          </w:tcPr>
          <w:p w14:paraId="301396A7"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19,2%</w:t>
            </w:r>
          </w:p>
        </w:tc>
        <w:tc>
          <w:tcPr>
            <w:tcW w:w="430" w:type="pct"/>
            <w:tcBorders>
              <w:top w:val="nil"/>
              <w:left w:val="nil"/>
              <w:bottom w:val="single" w:sz="8" w:space="0" w:color="9BC2E6"/>
              <w:right w:val="nil"/>
            </w:tcBorders>
            <w:shd w:val="clear" w:color="auto" w:fill="auto"/>
            <w:noWrap/>
            <w:vAlign w:val="center"/>
            <w:hideMark/>
          </w:tcPr>
          <w:p w14:paraId="7A874C85"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34,9%</w:t>
            </w:r>
          </w:p>
        </w:tc>
      </w:tr>
    </w:tbl>
    <w:p w14:paraId="7A402286" w14:textId="67AE4B8E" w:rsidR="003E0246" w:rsidRPr="00087F48" w:rsidRDefault="003E0246" w:rsidP="00087F48">
      <w:pPr>
        <w:spacing w:line="240" w:lineRule="auto"/>
        <w:rPr>
          <w:rFonts w:eastAsia="Calibri"/>
          <w:sz w:val="22"/>
        </w:rPr>
      </w:pPr>
      <w:r w:rsidRPr="00087F48">
        <w:rPr>
          <w:rFonts w:eastAsia="Calibri"/>
          <w:sz w:val="22"/>
        </w:rPr>
        <w:t>Em 2023, o crescimento dos Custos e Despesas foi de 19,2% e 34,9% em relação aos anos de 2022 e 2021, respectivamente, atingindo o montante de R$ 469,7 milhões (R$ 394,0 milhõ</w:t>
      </w:r>
      <w:r w:rsidR="00227AE1" w:rsidRPr="00087F48">
        <w:rPr>
          <w:rFonts w:eastAsia="Calibri"/>
          <w:sz w:val="22"/>
        </w:rPr>
        <w:t>es em 2022 e R$ 348,0 em 2021).</w:t>
      </w:r>
    </w:p>
    <w:p w14:paraId="1027424E" w14:textId="283E59ED" w:rsidR="003E0246" w:rsidRPr="00087F48" w:rsidRDefault="003E0246" w:rsidP="00087F48">
      <w:pPr>
        <w:spacing w:line="240" w:lineRule="auto"/>
        <w:rPr>
          <w:rFonts w:eastAsia="Calibri"/>
          <w:sz w:val="22"/>
        </w:rPr>
      </w:pPr>
      <w:r w:rsidRPr="00087F48">
        <w:rPr>
          <w:rFonts w:eastAsia="Calibri"/>
          <w:sz w:val="22"/>
        </w:rPr>
        <w:t>As principais ocorrências no período referentes aos itens de Custos e Despesas O</w:t>
      </w:r>
      <w:r w:rsidR="00227AE1" w:rsidRPr="00087F48">
        <w:rPr>
          <w:rFonts w:eastAsia="Calibri"/>
          <w:sz w:val="22"/>
        </w:rPr>
        <w:t>peracionais foram as seguintes:</w:t>
      </w:r>
    </w:p>
    <w:p w14:paraId="7924734B" w14:textId="417537E9" w:rsidR="003E0246" w:rsidRPr="003E0246" w:rsidRDefault="003E0246" w:rsidP="00087F48">
      <w:pPr>
        <w:spacing w:before="120" w:line="240" w:lineRule="auto"/>
        <w:rPr>
          <w:rFonts w:eastAsia="Arial"/>
          <w:sz w:val="22"/>
        </w:rPr>
      </w:pPr>
      <w:r w:rsidRPr="003E0246">
        <w:rPr>
          <w:rFonts w:eastAsia="Arial"/>
          <w:b/>
          <w:sz w:val="22"/>
        </w:rPr>
        <w:t xml:space="preserve">Meios de Conexão e Transmissão: </w:t>
      </w:r>
      <w:r w:rsidRPr="003E0246">
        <w:rPr>
          <w:rFonts w:eastAsia="Arial"/>
          <w:sz w:val="22"/>
        </w:rPr>
        <w:t xml:space="preserve">Apresentou aumento de 7,1% em relação ao ano de 2022 e de 17,3% na comparação com o exercício de 2021. Esse aumento foi impactado principalmente pelo serviço de Linha dedicada Industrial (EILD), devido aos reajustes de preços dos serviços contratados </w:t>
      </w:r>
      <w:proofErr w:type="gramStart"/>
      <w:r w:rsidRPr="003E0246">
        <w:rPr>
          <w:rFonts w:eastAsia="Arial"/>
          <w:sz w:val="22"/>
        </w:rPr>
        <w:t>e também</w:t>
      </w:r>
      <w:proofErr w:type="gramEnd"/>
      <w:r w:rsidRPr="003E0246">
        <w:rPr>
          <w:rFonts w:eastAsia="Arial"/>
          <w:sz w:val="22"/>
        </w:rPr>
        <w:t xml:space="preserve"> pelos novos contratos para atender as novas demandas. Os principais serviços que compõem essa rubrica são a Linha dedicada Industrial (</w:t>
      </w:r>
      <w:r w:rsidR="00227AE1">
        <w:rPr>
          <w:rFonts w:eastAsia="Arial"/>
          <w:sz w:val="22"/>
        </w:rPr>
        <w:t xml:space="preserve">EILD) e o serviço de Backbone, </w:t>
      </w:r>
    </w:p>
    <w:p w14:paraId="5E90EC2F" w14:textId="47A2C359" w:rsidR="003E0246" w:rsidRPr="003E0246" w:rsidRDefault="003E0246" w:rsidP="00087F48">
      <w:pPr>
        <w:spacing w:before="120" w:line="240" w:lineRule="auto"/>
        <w:rPr>
          <w:rFonts w:eastAsia="Arial"/>
          <w:sz w:val="22"/>
        </w:rPr>
      </w:pPr>
      <w:r w:rsidRPr="003E0246">
        <w:rPr>
          <w:rFonts w:eastAsia="Arial"/>
          <w:b/>
          <w:sz w:val="22"/>
        </w:rPr>
        <w:t xml:space="preserve">Pessoal: </w:t>
      </w:r>
      <w:r w:rsidRPr="003E0246">
        <w:rPr>
          <w:rFonts w:eastAsia="Arial"/>
          <w:sz w:val="22"/>
        </w:rPr>
        <w:t>Em 2023, os custos e despesas com Pessoal tiveram aumento de 10,1% em relação ao mesmo período do ano 2022 e de 24,7% quando comparado ao ano de 2021. O acréscimo é reflexo da contratação de novos colaboradores para reposição da força de trabalho, que foram</w:t>
      </w:r>
      <w:r w:rsidR="00227AE1">
        <w:rPr>
          <w:rFonts w:eastAsia="Arial"/>
          <w:sz w:val="22"/>
        </w:rPr>
        <w:t xml:space="preserve"> aprovados em concurso público.</w:t>
      </w:r>
    </w:p>
    <w:p w14:paraId="36BA2904" w14:textId="70C8224A" w:rsidR="003E0246" w:rsidRPr="003E0246" w:rsidRDefault="003E0246" w:rsidP="00087F48">
      <w:pPr>
        <w:spacing w:before="120" w:line="240" w:lineRule="auto"/>
        <w:rPr>
          <w:rFonts w:eastAsia="Arial"/>
          <w:sz w:val="22"/>
        </w:rPr>
      </w:pPr>
      <w:r w:rsidRPr="003E0246">
        <w:rPr>
          <w:rFonts w:eastAsia="Arial"/>
          <w:b/>
          <w:sz w:val="22"/>
        </w:rPr>
        <w:t>Serviços de Terceiros:</w:t>
      </w:r>
      <w:r w:rsidR="00203B9C">
        <w:rPr>
          <w:rFonts w:eastAsia="Arial"/>
          <w:sz w:val="22"/>
        </w:rPr>
        <w:t xml:space="preserve"> No exercício de 2023</w:t>
      </w:r>
      <w:r w:rsidRPr="003E0246">
        <w:rPr>
          <w:rFonts w:eastAsia="Arial"/>
          <w:sz w:val="22"/>
        </w:rPr>
        <w:t xml:space="preserve">, os custos e despesas com Serviços de Terceiros apresentaram crescimento de 46,2% e 89,8% na comparação com os anos de 2022 e 2021, </w:t>
      </w:r>
      <w:r w:rsidRPr="003E0246">
        <w:rPr>
          <w:rFonts w:eastAsia="Arial"/>
          <w:sz w:val="22"/>
        </w:rPr>
        <w:lastRenderedPageBreak/>
        <w:t xml:space="preserve">respectivamente. Esse comportamento é justificado pelos seguintes fatos: i) aumento do contrato de manutenção da planta de rede de telecomunicações da Telebras, devido ao novo processo de licitação, que teve os preços majorados em relação ao contrato anterior; e </w:t>
      </w:r>
      <w:proofErr w:type="spellStart"/>
      <w:r w:rsidRPr="003E0246">
        <w:rPr>
          <w:rFonts w:eastAsia="Arial"/>
          <w:sz w:val="22"/>
        </w:rPr>
        <w:t>ii</w:t>
      </w:r>
      <w:proofErr w:type="spellEnd"/>
      <w:r w:rsidRPr="003E0246">
        <w:rPr>
          <w:rFonts w:eastAsia="Arial"/>
          <w:sz w:val="22"/>
        </w:rPr>
        <w:t>) crescimento dos custos de manutenção da infraestrutura satelital em decorrência do aumento dos pont</w:t>
      </w:r>
      <w:r w:rsidR="00227AE1">
        <w:rPr>
          <w:rFonts w:eastAsia="Arial"/>
          <w:sz w:val="22"/>
        </w:rPr>
        <w:t>os de conexão ao satélite SGDC.</w:t>
      </w:r>
    </w:p>
    <w:p w14:paraId="4B8F4780" w14:textId="3F0911C0" w:rsidR="003E0246" w:rsidRPr="003E0246" w:rsidRDefault="003E0246" w:rsidP="00087F48">
      <w:pPr>
        <w:spacing w:before="120" w:line="240" w:lineRule="auto"/>
        <w:rPr>
          <w:rFonts w:eastAsia="Arial"/>
          <w:sz w:val="22"/>
        </w:rPr>
      </w:pPr>
      <w:r w:rsidRPr="003E0246">
        <w:rPr>
          <w:rFonts w:eastAsia="Arial"/>
          <w:b/>
          <w:sz w:val="22"/>
        </w:rPr>
        <w:t xml:space="preserve">Aluguéis, Locações e Seguros: </w:t>
      </w:r>
      <w:r w:rsidRPr="003E0246">
        <w:rPr>
          <w:rFonts w:eastAsia="Arial"/>
          <w:sz w:val="22"/>
        </w:rPr>
        <w:t>O crescimento de 5,1% em relação ao ano de 2022 e de 5,7% na comparação ao ano de 2021, é justificado principalmente pelo</w:t>
      </w:r>
      <w:r w:rsidRPr="003E0246">
        <w:rPr>
          <w:rFonts w:eastAsia="Arial"/>
          <w:b/>
          <w:sz w:val="22"/>
        </w:rPr>
        <w:t xml:space="preserve"> </w:t>
      </w:r>
      <w:r w:rsidRPr="003E0246">
        <w:rPr>
          <w:rFonts w:eastAsia="Arial"/>
          <w:sz w:val="22"/>
        </w:rPr>
        <w:t xml:space="preserve">aumento dos custos de locação de equipamentos de conexão satelital, devido ao aumento dos pontos de conexão ao satélite SGDC para prestação dos serviços vinculados ao programa GESAC. </w:t>
      </w:r>
      <w:r w:rsidR="00393495" w:rsidRPr="003E0246">
        <w:rPr>
          <w:rFonts w:eastAsia="Arial"/>
          <w:sz w:val="22"/>
        </w:rPr>
        <w:t>Esses aumentos foram</w:t>
      </w:r>
      <w:r w:rsidRPr="003E0246">
        <w:rPr>
          <w:rFonts w:eastAsia="Arial"/>
          <w:sz w:val="22"/>
        </w:rPr>
        <w:t xml:space="preserve"> parcialmente amortizado</w:t>
      </w:r>
      <w:r w:rsidR="00393495">
        <w:rPr>
          <w:rFonts w:eastAsia="Arial"/>
          <w:sz w:val="22"/>
        </w:rPr>
        <w:t>s</w:t>
      </w:r>
      <w:r w:rsidRPr="003E0246">
        <w:rPr>
          <w:rFonts w:eastAsia="Arial"/>
          <w:sz w:val="22"/>
        </w:rPr>
        <w:t xml:space="preserve"> pela redução nos custos do prêmio de seguro e da garantia estendida do satélite quando da renovação das apól</w:t>
      </w:r>
      <w:bookmarkStart w:id="12" w:name="_Hlk78376653"/>
      <w:r w:rsidR="00227AE1">
        <w:rPr>
          <w:rFonts w:eastAsia="Arial"/>
          <w:sz w:val="22"/>
        </w:rPr>
        <w:t>ice</w:t>
      </w:r>
      <w:r w:rsidR="00393495">
        <w:rPr>
          <w:rFonts w:eastAsia="Arial"/>
          <w:sz w:val="22"/>
        </w:rPr>
        <w:t>s</w:t>
      </w:r>
      <w:r w:rsidR="00227AE1">
        <w:rPr>
          <w:rFonts w:eastAsia="Arial"/>
          <w:sz w:val="22"/>
        </w:rPr>
        <w:t xml:space="preserve"> e do</w:t>
      </w:r>
      <w:r w:rsidR="00393495">
        <w:rPr>
          <w:rFonts w:eastAsia="Arial"/>
          <w:sz w:val="22"/>
        </w:rPr>
        <w:t>s</w:t>
      </w:r>
      <w:r w:rsidR="00227AE1">
        <w:rPr>
          <w:rFonts w:eastAsia="Arial"/>
          <w:sz w:val="22"/>
        </w:rPr>
        <w:t xml:space="preserve"> contratos de garantia.</w:t>
      </w:r>
    </w:p>
    <w:p w14:paraId="52B6CEC5" w14:textId="6C725515" w:rsidR="003E0246" w:rsidRPr="00087F48" w:rsidRDefault="003E0246" w:rsidP="00087F48">
      <w:pPr>
        <w:pStyle w:val="Ttulo3"/>
        <w:ind w:left="709" w:hanging="709"/>
        <w:rPr>
          <w:b w:val="0"/>
        </w:rPr>
      </w:pPr>
      <w:bookmarkStart w:id="13" w:name="_Toc161319435"/>
      <w:bookmarkEnd w:id="12"/>
      <w:r w:rsidRPr="00087F48">
        <w:t>Depreciação e Amortização</w:t>
      </w:r>
      <w:bookmarkEnd w:id="13"/>
    </w:p>
    <w:tbl>
      <w:tblPr>
        <w:tblW w:w="5000" w:type="pct"/>
        <w:tblCellMar>
          <w:left w:w="70" w:type="dxa"/>
          <w:right w:w="70" w:type="dxa"/>
        </w:tblCellMar>
        <w:tblLook w:val="04A0" w:firstRow="1" w:lastRow="0" w:firstColumn="1" w:lastColumn="0" w:noHBand="0" w:noVBand="1"/>
      </w:tblPr>
      <w:tblGrid>
        <w:gridCol w:w="3963"/>
        <w:gridCol w:w="1054"/>
        <w:gridCol w:w="1054"/>
        <w:gridCol w:w="1054"/>
        <w:gridCol w:w="985"/>
        <w:gridCol w:w="962"/>
      </w:tblGrid>
      <w:tr w:rsidR="00227AE1" w:rsidRPr="00393495" w14:paraId="4BF0BDF6" w14:textId="77777777" w:rsidTr="00052435">
        <w:trPr>
          <w:trHeight w:val="238"/>
        </w:trPr>
        <w:tc>
          <w:tcPr>
            <w:tcW w:w="2184" w:type="pct"/>
            <w:tcBorders>
              <w:top w:val="single" w:sz="8" w:space="0" w:color="8EA9DB"/>
              <w:left w:val="nil"/>
              <w:bottom w:val="single" w:sz="8" w:space="0" w:color="8EA9DB"/>
              <w:right w:val="nil"/>
            </w:tcBorders>
            <w:shd w:val="clear" w:color="auto" w:fill="auto"/>
            <w:noWrap/>
            <w:vAlign w:val="center"/>
            <w:hideMark/>
          </w:tcPr>
          <w:p w14:paraId="3ED602F4" w14:textId="77777777" w:rsidR="00227AE1" w:rsidRPr="00087F48" w:rsidRDefault="00227AE1" w:rsidP="00227AE1">
            <w:pPr>
              <w:tabs>
                <w:tab w:val="clear" w:pos="851"/>
              </w:tabs>
              <w:spacing w:before="0" w:after="0" w:line="240" w:lineRule="auto"/>
              <w:jc w:val="left"/>
              <w:rPr>
                <w:rFonts w:ascii="Arial" w:hAnsi="Arial" w:cs="Arial"/>
                <w:b/>
                <w:bCs/>
                <w:color w:val="2F75B5"/>
                <w:sz w:val="16"/>
                <w:szCs w:val="18"/>
                <w:lang w:eastAsia="pt-BR"/>
              </w:rPr>
            </w:pPr>
            <w:r w:rsidRPr="00087F48">
              <w:rPr>
                <w:rFonts w:ascii="Arial" w:hAnsi="Arial" w:cs="Arial"/>
                <w:b/>
                <w:bCs/>
                <w:color w:val="2F75B5"/>
                <w:sz w:val="16"/>
                <w:szCs w:val="18"/>
                <w:lang w:eastAsia="pt-BR"/>
              </w:rPr>
              <w:t>R$ mil</w:t>
            </w:r>
          </w:p>
        </w:tc>
        <w:tc>
          <w:tcPr>
            <w:tcW w:w="581" w:type="pct"/>
            <w:tcBorders>
              <w:top w:val="single" w:sz="8" w:space="0" w:color="8EA9DB"/>
              <w:left w:val="nil"/>
              <w:bottom w:val="single" w:sz="8" w:space="0" w:color="8EA9DB"/>
              <w:right w:val="nil"/>
            </w:tcBorders>
            <w:shd w:val="clear" w:color="000000" w:fill="FFFFFF"/>
            <w:noWrap/>
            <w:vAlign w:val="center"/>
            <w:hideMark/>
          </w:tcPr>
          <w:p w14:paraId="333C1532"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2023</w:t>
            </w:r>
          </w:p>
        </w:tc>
        <w:tc>
          <w:tcPr>
            <w:tcW w:w="581" w:type="pct"/>
            <w:tcBorders>
              <w:top w:val="single" w:sz="8" w:space="0" w:color="8EA9DB"/>
              <w:left w:val="nil"/>
              <w:bottom w:val="single" w:sz="8" w:space="0" w:color="8EA9DB"/>
              <w:right w:val="nil"/>
            </w:tcBorders>
            <w:shd w:val="clear" w:color="000000" w:fill="FFFFFF"/>
            <w:noWrap/>
            <w:vAlign w:val="center"/>
            <w:hideMark/>
          </w:tcPr>
          <w:p w14:paraId="2305EEBD"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2022</w:t>
            </w:r>
          </w:p>
        </w:tc>
        <w:tc>
          <w:tcPr>
            <w:tcW w:w="581" w:type="pct"/>
            <w:tcBorders>
              <w:top w:val="single" w:sz="8" w:space="0" w:color="8EA9DB"/>
              <w:left w:val="nil"/>
              <w:bottom w:val="single" w:sz="8" w:space="0" w:color="8EA9DB"/>
              <w:right w:val="nil"/>
            </w:tcBorders>
            <w:shd w:val="clear" w:color="000000" w:fill="FFFFFF"/>
            <w:noWrap/>
            <w:vAlign w:val="center"/>
            <w:hideMark/>
          </w:tcPr>
          <w:p w14:paraId="35A49EC1"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2021</w:t>
            </w:r>
          </w:p>
        </w:tc>
        <w:tc>
          <w:tcPr>
            <w:tcW w:w="543" w:type="pct"/>
            <w:tcBorders>
              <w:top w:val="single" w:sz="8" w:space="0" w:color="9BC2E6"/>
              <w:left w:val="nil"/>
              <w:bottom w:val="single" w:sz="8" w:space="0" w:color="9BC2E6"/>
              <w:right w:val="nil"/>
            </w:tcBorders>
            <w:shd w:val="clear" w:color="000000" w:fill="FFFFFF"/>
            <w:vAlign w:val="center"/>
            <w:hideMark/>
          </w:tcPr>
          <w:p w14:paraId="076B20A4"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2022</w:t>
            </w:r>
          </w:p>
        </w:tc>
        <w:tc>
          <w:tcPr>
            <w:tcW w:w="530" w:type="pct"/>
            <w:tcBorders>
              <w:top w:val="single" w:sz="8" w:space="0" w:color="9BC2E6"/>
              <w:left w:val="nil"/>
              <w:bottom w:val="single" w:sz="8" w:space="0" w:color="9BC2E6"/>
              <w:right w:val="nil"/>
            </w:tcBorders>
            <w:shd w:val="clear" w:color="000000" w:fill="FFFFFF"/>
            <w:vAlign w:val="center"/>
            <w:hideMark/>
          </w:tcPr>
          <w:p w14:paraId="33CFF4D7"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2021</w:t>
            </w:r>
          </w:p>
        </w:tc>
      </w:tr>
      <w:tr w:rsidR="00227AE1" w:rsidRPr="00393495" w14:paraId="77620F07" w14:textId="77777777" w:rsidTr="00052435">
        <w:trPr>
          <w:trHeight w:val="238"/>
        </w:trPr>
        <w:tc>
          <w:tcPr>
            <w:tcW w:w="2184" w:type="pct"/>
            <w:tcBorders>
              <w:top w:val="nil"/>
              <w:left w:val="nil"/>
              <w:bottom w:val="single" w:sz="8" w:space="0" w:color="4472C4"/>
              <w:right w:val="nil"/>
            </w:tcBorders>
            <w:shd w:val="clear" w:color="auto" w:fill="auto"/>
            <w:noWrap/>
            <w:vAlign w:val="center"/>
            <w:hideMark/>
          </w:tcPr>
          <w:p w14:paraId="6DB468BF"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Depreciação e Amortização</w:t>
            </w:r>
          </w:p>
        </w:tc>
        <w:tc>
          <w:tcPr>
            <w:tcW w:w="581" w:type="pct"/>
            <w:tcBorders>
              <w:top w:val="nil"/>
              <w:left w:val="nil"/>
              <w:bottom w:val="single" w:sz="8" w:space="0" w:color="4472C4"/>
              <w:right w:val="nil"/>
            </w:tcBorders>
            <w:shd w:val="clear" w:color="auto" w:fill="auto"/>
            <w:noWrap/>
            <w:vAlign w:val="center"/>
            <w:hideMark/>
          </w:tcPr>
          <w:p w14:paraId="3D23542F"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(253.540)</w:t>
            </w:r>
          </w:p>
        </w:tc>
        <w:tc>
          <w:tcPr>
            <w:tcW w:w="581" w:type="pct"/>
            <w:tcBorders>
              <w:top w:val="nil"/>
              <w:left w:val="nil"/>
              <w:bottom w:val="single" w:sz="8" w:space="0" w:color="4472C4"/>
              <w:right w:val="nil"/>
            </w:tcBorders>
            <w:shd w:val="clear" w:color="auto" w:fill="auto"/>
            <w:noWrap/>
            <w:vAlign w:val="center"/>
            <w:hideMark/>
          </w:tcPr>
          <w:p w14:paraId="0F615F07"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(242.086)</w:t>
            </w:r>
          </w:p>
        </w:tc>
        <w:tc>
          <w:tcPr>
            <w:tcW w:w="581" w:type="pct"/>
            <w:tcBorders>
              <w:top w:val="nil"/>
              <w:left w:val="nil"/>
              <w:bottom w:val="single" w:sz="8" w:space="0" w:color="4472C4"/>
              <w:right w:val="nil"/>
            </w:tcBorders>
            <w:shd w:val="clear" w:color="auto" w:fill="auto"/>
            <w:noWrap/>
            <w:vAlign w:val="center"/>
            <w:hideMark/>
          </w:tcPr>
          <w:p w14:paraId="25873BC1"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(254.336)</w:t>
            </w:r>
          </w:p>
        </w:tc>
        <w:tc>
          <w:tcPr>
            <w:tcW w:w="543" w:type="pct"/>
            <w:tcBorders>
              <w:top w:val="nil"/>
              <w:left w:val="nil"/>
              <w:bottom w:val="single" w:sz="8" w:space="0" w:color="4472C4"/>
              <w:right w:val="nil"/>
            </w:tcBorders>
            <w:shd w:val="clear" w:color="auto" w:fill="auto"/>
            <w:noWrap/>
            <w:vAlign w:val="center"/>
            <w:hideMark/>
          </w:tcPr>
          <w:p w14:paraId="500C1508"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4,7%</w:t>
            </w:r>
          </w:p>
        </w:tc>
        <w:tc>
          <w:tcPr>
            <w:tcW w:w="530" w:type="pct"/>
            <w:tcBorders>
              <w:top w:val="nil"/>
              <w:left w:val="nil"/>
              <w:bottom w:val="single" w:sz="8" w:space="0" w:color="4472C4"/>
              <w:right w:val="nil"/>
            </w:tcBorders>
            <w:shd w:val="clear" w:color="auto" w:fill="auto"/>
            <w:noWrap/>
            <w:vAlign w:val="center"/>
            <w:hideMark/>
          </w:tcPr>
          <w:p w14:paraId="7A8FBD67"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-0,3%</w:t>
            </w:r>
          </w:p>
        </w:tc>
      </w:tr>
    </w:tbl>
    <w:p w14:paraId="1DA26FC8" w14:textId="21A665D4" w:rsidR="003E0246" w:rsidRPr="00087F48" w:rsidRDefault="003E0246" w:rsidP="003E0246">
      <w:pPr>
        <w:spacing w:after="0" w:line="240" w:lineRule="auto"/>
        <w:rPr>
          <w:rFonts w:eastAsia="Arial"/>
          <w:sz w:val="22"/>
        </w:rPr>
      </w:pPr>
      <w:bookmarkStart w:id="14" w:name="_Hlk32496144"/>
      <w:r w:rsidRPr="003E0246">
        <w:rPr>
          <w:rFonts w:eastAsia="Arial"/>
          <w:sz w:val="22"/>
        </w:rPr>
        <w:t xml:space="preserve">O </w:t>
      </w:r>
      <w:r w:rsidR="00393495" w:rsidRPr="003E0246">
        <w:rPr>
          <w:rFonts w:eastAsia="Arial"/>
          <w:sz w:val="22"/>
        </w:rPr>
        <w:t>comportamento</w:t>
      </w:r>
      <w:r w:rsidRPr="003E0246">
        <w:rPr>
          <w:rFonts w:eastAsia="Arial"/>
          <w:sz w:val="22"/>
        </w:rPr>
        <w:t xml:space="preserve"> da depreciação e amortização no exercício de 2023 em relação ao exercício de 2022, apresentou um aumento de 4,7%. Na comparação como o ano de 2021, houve uma estabi</w:t>
      </w:r>
      <w:r w:rsidR="00393495">
        <w:rPr>
          <w:rFonts w:eastAsia="Arial"/>
          <w:sz w:val="22"/>
        </w:rPr>
        <w:t>li</w:t>
      </w:r>
      <w:r w:rsidRPr="003E0246">
        <w:rPr>
          <w:rFonts w:eastAsia="Arial"/>
          <w:sz w:val="22"/>
        </w:rPr>
        <w:t xml:space="preserve">dade, com variação negativa de 0,3%. </w:t>
      </w:r>
      <w:bookmarkEnd w:id="14"/>
    </w:p>
    <w:p w14:paraId="7BA6FAA2" w14:textId="7D5C5114" w:rsidR="003E0246" w:rsidRPr="00087F48" w:rsidRDefault="003E0246" w:rsidP="00087F48">
      <w:pPr>
        <w:pStyle w:val="Ttulo3"/>
        <w:ind w:left="709" w:hanging="709"/>
        <w:rPr>
          <w:b w:val="0"/>
        </w:rPr>
      </w:pPr>
      <w:bookmarkStart w:id="15" w:name="_Toc161319436"/>
      <w:r w:rsidRPr="00087F48">
        <w:t>Resultado de Equivalência Patrimonial</w:t>
      </w:r>
      <w:bookmarkEnd w:id="15"/>
    </w:p>
    <w:tbl>
      <w:tblPr>
        <w:tblW w:w="5000" w:type="pct"/>
        <w:tblCellMar>
          <w:left w:w="70" w:type="dxa"/>
          <w:right w:w="70" w:type="dxa"/>
        </w:tblCellMar>
        <w:tblLook w:val="04A0" w:firstRow="1" w:lastRow="0" w:firstColumn="1" w:lastColumn="0" w:noHBand="0" w:noVBand="1"/>
      </w:tblPr>
      <w:tblGrid>
        <w:gridCol w:w="3963"/>
        <w:gridCol w:w="1054"/>
        <w:gridCol w:w="1054"/>
        <w:gridCol w:w="1054"/>
        <w:gridCol w:w="985"/>
        <w:gridCol w:w="962"/>
      </w:tblGrid>
      <w:tr w:rsidR="00227AE1" w:rsidRPr="00393495" w14:paraId="07366CD8" w14:textId="77777777" w:rsidTr="00052435">
        <w:trPr>
          <w:trHeight w:val="238"/>
        </w:trPr>
        <w:tc>
          <w:tcPr>
            <w:tcW w:w="2184" w:type="pct"/>
            <w:tcBorders>
              <w:top w:val="single" w:sz="8" w:space="0" w:color="8EA9DB"/>
              <w:left w:val="nil"/>
              <w:bottom w:val="single" w:sz="8" w:space="0" w:color="8EA9DB"/>
              <w:right w:val="nil"/>
            </w:tcBorders>
            <w:shd w:val="clear" w:color="auto" w:fill="auto"/>
            <w:noWrap/>
            <w:vAlign w:val="center"/>
            <w:hideMark/>
          </w:tcPr>
          <w:p w14:paraId="656AD76B" w14:textId="77777777" w:rsidR="00227AE1" w:rsidRPr="00087F48" w:rsidRDefault="00227AE1" w:rsidP="00227AE1">
            <w:pPr>
              <w:tabs>
                <w:tab w:val="clear" w:pos="851"/>
              </w:tabs>
              <w:spacing w:before="0" w:after="0" w:line="240" w:lineRule="auto"/>
              <w:jc w:val="left"/>
              <w:rPr>
                <w:rFonts w:ascii="Arial" w:hAnsi="Arial" w:cs="Arial"/>
                <w:b/>
                <w:bCs/>
                <w:color w:val="2F75B5"/>
                <w:sz w:val="16"/>
                <w:szCs w:val="18"/>
                <w:lang w:eastAsia="pt-BR"/>
              </w:rPr>
            </w:pPr>
            <w:r w:rsidRPr="00087F48">
              <w:rPr>
                <w:rFonts w:ascii="Arial" w:hAnsi="Arial" w:cs="Arial"/>
                <w:b/>
                <w:bCs/>
                <w:color w:val="2F75B5"/>
                <w:sz w:val="16"/>
                <w:szCs w:val="18"/>
                <w:lang w:eastAsia="pt-BR"/>
              </w:rPr>
              <w:t>R$ mil</w:t>
            </w:r>
          </w:p>
        </w:tc>
        <w:tc>
          <w:tcPr>
            <w:tcW w:w="581" w:type="pct"/>
            <w:tcBorders>
              <w:top w:val="single" w:sz="8" w:space="0" w:color="8EA9DB"/>
              <w:left w:val="nil"/>
              <w:bottom w:val="single" w:sz="8" w:space="0" w:color="8EA9DB"/>
              <w:right w:val="nil"/>
            </w:tcBorders>
            <w:shd w:val="clear" w:color="000000" w:fill="FFFFFF"/>
            <w:noWrap/>
            <w:vAlign w:val="center"/>
            <w:hideMark/>
          </w:tcPr>
          <w:p w14:paraId="4ED6FFBC"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2023</w:t>
            </w:r>
          </w:p>
        </w:tc>
        <w:tc>
          <w:tcPr>
            <w:tcW w:w="581" w:type="pct"/>
            <w:tcBorders>
              <w:top w:val="single" w:sz="8" w:space="0" w:color="8EA9DB"/>
              <w:left w:val="nil"/>
              <w:bottom w:val="single" w:sz="8" w:space="0" w:color="8EA9DB"/>
              <w:right w:val="nil"/>
            </w:tcBorders>
            <w:shd w:val="clear" w:color="000000" w:fill="FFFFFF"/>
            <w:noWrap/>
            <w:vAlign w:val="center"/>
            <w:hideMark/>
          </w:tcPr>
          <w:p w14:paraId="291D9D4D"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2022</w:t>
            </w:r>
          </w:p>
        </w:tc>
        <w:tc>
          <w:tcPr>
            <w:tcW w:w="581" w:type="pct"/>
            <w:tcBorders>
              <w:top w:val="single" w:sz="8" w:space="0" w:color="8EA9DB"/>
              <w:left w:val="nil"/>
              <w:bottom w:val="single" w:sz="8" w:space="0" w:color="8EA9DB"/>
              <w:right w:val="nil"/>
            </w:tcBorders>
            <w:shd w:val="clear" w:color="000000" w:fill="FFFFFF"/>
            <w:noWrap/>
            <w:vAlign w:val="center"/>
            <w:hideMark/>
          </w:tcPr>
          <w:p w14:paraId="702849D1"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2021</w:t>
            </w:r>
          </w:p>
        </w:tc>
        <w:tc>
          <w:tcPr>
            <w:tcW w:w="543" w:type="pct"/>
            <w:tcBorders>
              <w:top w:val="single" w:sz="8" w:space="0" w:color="9BC2E6"/>
              <w:left w:val="nil"/>
              <w:bottom w:val="single" w:sz="8" w:space="0" w:color="9BC2E6"/>
              <w:right w:val="nil"/>
            </w:tcBorders>
            <w:shd w:val="clear" w:color="000000" w:fill="FFFFFF"/>
            <w:vAlign w:val="center"/>
            <w:hideMark/>
          </w:tcPr>
          <w:p w14:paraId="54A4D5A1"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2022</w:t>
            </w:r>
          </w:p>
        </w:tc>
        <w:tc>
          <w:tcPr>
            <w:tcW w:w="530" w:type="pct"/>
            <w:tcBorders>
              <w:top w:val="single" w:sz="8" w:space="0" w:color="9BC2E6"/>
              <w:left w:val="nil"/>
              <w:bottom w:val="single" w:sz="8" w:space="0" w:color="9BC2E6"/>
              <w:right w:val="nil"/>
            </w:tcBorders>
            <w:shd w:val="clear" w:color="000000" w:fill="FFFFFF"/>
            <w:vAlign w:val="center"/>
            <w:hideMark/>
          </w:tcPr>
          <w:p w14:paraId="52A46152"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2021</w:t>
            </w:r>
          </w:p>
        </w:tc>
      </w:tr>
      <w:tr w:rsidR="00227AE1" w:rsidRPr="00393495" w14:paraId="1DB2E415" w14:textId="77777777" w:rsidTr="00052435">
        <w:trPr>
          <w:trHeight w:val="238"/>
        </w:trPr>
        <w:tc>
          <w:tcPr>
            <w:tcW w:w="2184" w:type="pct"/>
            <w:tcBorders>
              <w:top w:val="nil"/>
              <w:left w:val="nil"/>
              <w:bottom w:val="single" w:sz="8" w:space="0" w:color="4472C4"/>
              <w:right w:val="nil"/>
            </w:tcBorders>
            <w:shd w:val="clear" w:color="auto" w:fill="auto"/>
            <w:noWrap/>
            <w:vAlign w:val="center"/>
            <w:hideMark/>
          </w:tcPr>
          <w:p w14:paraId="4DFA5D14" w14:textId="77777777" w:rsidR="00227AE1" w:rsidRPr="00087F48" w:rsidRDefault="00227AE1" w:rsidP="00227AE1">
            <w:pPr>
              <w:tabs>
                <w:tab w:val="clear" w:pos="851"/>
              </w:tabs>
              <w:spacing w:before="0" w:after="0" w:line="240" w:lineRule="auto"/>
              <w:jc w:val="left"/>
              <w:rPr>
                <w:rFonts w:ascii="Arial" w:hAnsi="Arial" w:cs="Arial"/>
                <w:color w:val="000000"/>
                <w:sz w:val="16"/>
                <w:szCs w:val="18"/>
                <w:lang w:eastAsia="pt-BR"/>
              </w:rPr>
            </w:pPr>
            <w:r w:rsidRPr="00087F48">
              <w:rPr>
                <w:rFonts w:ascii="Arial" w:hAnsi="Arial" w:cs="Arial"/>
                <w:color w:val="000000"/>
                <w:sz w:val="16"/>
                <w:szCs w:val="18"/>
                <w:lang w:eastAsia="pt-BR"/>
              </w:rPr>
              <w:t>Resultado de Equivalência Patrimonial</w:t>
            </w:r>
          </w:p>
        </w:tc>
        <w:tc>
          <w:tcPr>
            <w:tcW w:w="581" w:type="pct"/>
            <w:tcBorders>
              <w:top w:val="nil"/>
              <w:left w:val="nil"/>
              <w:bottom w:val="single" w:sz="8" w:space="0" w:color="4472C4"/>
              <w:right w:val="nil"/>
            </w:tcBorders>
            <w:shd w:val="clear" w:color="auto" w:fill="auto"/>
            <w:noWrap/>
            <w:vAlign w:val="center"/>
            <w:hideMark/>
          </w:tcPr>
          <w:p w14:paraId="18D1B477"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(2.254)</w:t>
            </w:r>
          </w:p>
        </w:tc>
        <w:tc>
          <w:tcPr>
            <w:tcW w:w="581" w:type="pct"/>
            <w:tcBorders>
              <w:top w:val="nil"/>
              <w:left w:val="nil"/>
              <w:bottom w:val="single" w:sz="8" w:space="0" w:color="4472C4"/>
              <w:right w:val="nil"/>
            </w:tcBorders>
            <w:shd w:val="clear" w:color="auto" w:fill="auto"/>
            <w:noWrap/>
            <w:vAlign w:val="center"/>
            <w:hideMark/>
          </w:tcPr>
          <w:p w14:paraId="4004F7CC"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(6.500)</w:t>
            </w:r>
          </w:p>
        </w:tc>
        <w:tc>
          <w:tcPr>
            <w:tcW w:w="581" w:type="pct"/>
            <w:tcBorders>
              <w:top w:val="nil"/>
              <w:left w:val="nil"/>
              <w:bottom w:val="single" w:sz="8" w:space="0" w:color="4472C4"/>
              <w:right w:val="nil"/>
            </w:tcBorders>
            <w:shd w:val="clear" w:color="auto" w:fill="auto"/>
            <w:noWrap/>
            <w:vAlign w:val="center"/>
            <w:hideMark/>
          </w:tcPr>
          <w:p w14:paraId="19A31A4A"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 xml:space="preserve">     (6.273)</w:t>
            </w:r>
          </w:p>
        </w:tc>
        <w:tc>
          <w:tcPr>
            <w:tcW w:w="543" w:type="pct"/>
            <w:tcBorders>
              <w:top w:val="nil"/>
              <w:left w:val="nil"/>
              <w:bottom w:val="single" w:sz="8" w:space="0" w:color="4472C4"/>
              <w:right w:val="nil"/>
            </w:tcBorders>
            <w:shd w:val="clear" w:color="auto" w:fill="auto"/>
            <w:noWrap/>
            <w:vAlign w:val="center"/>
            <w:hideMark/>
          </w:tcPr>
          <w:p w14:paraId="21343FCF"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-65,3%</w:t>
            </w:r>
          </w:p>
        </w:tc>
        <w:tc>
          <w:tcPr>
            <w:tcW w:w="530" w:type="pct"/>
            <w:tcBorders>
              <w:top w:val="nil"/>
              <w:left w:val="nil"/>
              <w:bottom w:val="single" w:sz="8" w:space="0" w:color="4472C4"/>
              <w:right w:val="nil"/>
            </w:tcBorders>
            <w:shd w:val="clear" w:color="auto" w:fill="auto"/>
            <w:noWrap/>
            <w:vAlign w:val="center"/>
            <w:hideMark/>
          </w:tcPr>
          <w:p w14:paraId="6C80A124" w14:textId="77777777" w:rsidR="00227AE1" w:rsidRPr="00087F48" w:rsidRDefault="00227AE1" w:rsidP="00227AE1">
            <w:pPr>
              <w:tabs>
                <w:tab w:val="clear" w:pos="851"/>
              </w:tabs>
              <w:spacing w:before="0" w:after="0" w:line="240" w:lineRule="auto"/>
              <w:jc w:val="right"/>
              <w:rPr>
                <w:rFonts w:ascii="Arial" w:hAnsi="Arial" w:cs="Arial"/>
                <w:color w:val="000000"/>
                <w:sz w:val="16"/>
                <w:szCs w:val="18"/>
                <w:lang w:eastAsia="pt-BR"/>
              </w:rPr>
            </w:pPr>
            <w:r w:rsidRPr="00087F48">
              <w:rPr>
                <w:rFonts w:ascii="Arial" w:hAnsi="Arial" w:cs="Arial"/>
                <w:color w:val="000000"/>
                <w:sz w:val="16"/>
                <w:szCs w:val="18"/>
                <w:lang w:eastAsia="pt-BR"/>
              </w:rPr>
              <w:t>-64,1%</w:t>
            </w:r>
          </w:p>
        </w:tc>
      </w:tr>
    </w:tbl>
    <w:p w14:paraId="72680E61" w14:textId="6E348663" w:rsidR="003E0246" w:rsidRPr="00087F48" w:rsidRDefault="003E0246" w:rsidP="003E0246">
      <w:pPr>
        <w:spacing w:after="0" w:line="240" w:lineRule="auto"/>
        <w:rPr>
          <w:rFonts w:eastAsia="Arial"/>
          <w:sz w:val="22"/>
        </w:rPr>
      </w:pPr>
      <w:bookmarkStart w:id="16" w:name="_Hlk32496500"/>
      <w:r w:rsidRPr="003E0246">
        <w:rPr>
          <w:rFonts w:eastAsia="Arial"/>
          <w:sz w:val="22"/>
        </w:rPr>
        <w:t xml:space="preserve">Os Resultados negativos de Equivalência Patrimonial apurados nos anos de 2023, 2022 e 2021 refletem a participação da Telebras (49%) nos resultados negativos gerados nesses anos pela </w:t>
      </w:r>
      <w:proofErr w:type="gramStart"/>
      <w:r w:rsidRPr="003E0246">
        <w:rPr>
          <w:rFonts w:eastAsia="Arial"/>
          <w:sz w:val="22"/>
        </w:rPr>
        <w:t>coligada Visiona</w:t>
      </w:r>
      <w:proofErr w:type="gramEnd"/>
      <w:r w:rsidRPr="003E0246">
        <w:rPr>
          <w:rFonts w:eastAsia="Arial"/>
          <w:sz w:val="22"/>
        </w:rPr>
        <w:t xml:space="preserve">. Em 2023, a coligada apresentou um prejuízo líquido de R$ 4,6 milhões (R$ 13,3 milhões em 2022 e R$ 12,8 milhões em 2021). </w:t>
      </w:r>
      <w:bookmarkEnd w:id="16"/>
    </w:p>
    <w:p w14:paraId="1CFC9148" w14:textId="01B21977" w:rsidR="003E0246" w:rsidRPr="00087F48" w:rsidRDefault="003E0246" w:rsidP="00087F48">
      <w:pPr>
        <w:pStyle w:val="Ttulo3"/>
        <w:ind w:left="709" w:hanging="709"/>
        <w:rPr>
          <w:b w:val="0"/>
        </w:rPr>
      </w:pPr>
      <w:bookmarkStart w:id="17" w:name="_Toc161319437"/>
      <w:r w:rsidRPr="00087F48">
        <w:t>Outras Receitas / Despesas Operacionais</w:t>
      </w:r>
      <w:bookmarkEnd w:id="17"/>
      <w:r w:rsidRPr="00087F48">
        <w:t xml:space="preserve"> </w:t>
      </w:r>
    </w:p>
    <w:tbl>
      <w:tblPr>
        <w:tblW w:w="5000" w:type="pct"/>
        <w:tblCellMar>
          <w:left w:w="70" w:type="dxa"/>
          <w:right w:w="70" w:type="dxa"/>
        </w:tblCellMar>
        <w:tblLook w:val="04A0" w:firstRow="1" w:lastRow="0" w:firstColumn="1" w:lastColumn="0" w:noHBand="0" w:noVBand="1"/>
      </w:tblPr>
      <w:tblGrid>
        <w:gridCol w:w="4548"/>
        <w:gridCol w:w="914"/>
        <w:gridCol w:w="914"/>
        <w:gridCol w:w="914"/>
        <w:gridCol w:w="893"/>
        <w:gridCol w:w="889"/>
      </w:tblGrid>
      <w:tr w:rsidR="00227AE1" w:rsidRPr="00393495" w14:paraId="6730E731" w14:textId="77777777" w:rsidTr="00052435">
        <w:trPr>
          <w:trHeight w:val="238"/>
        </w:trPr>
        <w:tc>
          <w:tcPr>
            <w:tcW w:w="2506" w:type="pct"/>
            <w:tcBorders>
              <w:top w:val="single" w:sz="8" w:space="0" w:color="8EA9DB"/>
              <w:left w:val="nil"/>
              <w:bottom w:val="single" w:sz="8" w:space="0" w:color="8EA9DB"/>
              <w:right w:val="nil"/>
            </w:tcBorders>
            <w:shd w:val="clear" w:color="auto" w:fill="auto"/>
            <w:noWrap/>
            <w:vAlign w:val="center"/>
            <w:hideMark/>
          </w:tcPr>
          <w:p w14:paraId="4492BC5E" w14:textId="77777777" w:rsidR="00227AE1" w:rsidRPr="00087F48" w:rsidRDefault="00227AE1" w:rsidP="00227AE1">
            <w:pPr>
              <w:tabs>
                <w:tab w:val="clear" w:pos="851"/>
              </w:tabs>
              <w:spacing w:before="0" w:after="0" w:line="240" w:lineRule="auto"/>
              <w:jc w:val="left"/>
              <w:rPr>
                <w:rFonts w:ascii="Arial" w:hAnsi="Arial" w:cs="Arial"/>
                <w:b/>
                <w:bCs/>
                <w:color w:val="2F75B5"/>
                <w:sz w:val="16"/>
                <w:szCs w:val="18"/>
                <w:lang w:eastAsia="pt-BR"/>
              </w:rPr>
            </w:pPr>
            <w:r w:rsidRPr="00087F48">
              <w:rPr>
                <w:rFonts w:ascii="Arial" w:hAnsi="Arial" w:cs="Arial"/>
                <w:b/>
                <w:bCs/>
                <w:color w:val="2F75B5"/>
                <w:sz w:val="16"/>
                <w:szCs w:val="18"/>
                <w:lang w:eastAsia="pt-BR"/>
              </w:rPr>
              <w:t>R$ mil</w:t>
            </w:r>
          </w:p>
        </w:tc>
        <w:tc>
          <w:tcPr>
            <w:tcW w:w="504" w:type="pct"/>
            <w:tcBorders>
              <w:top w:val="single" w:sz="8" w:space="0" w:color="8EA9DB"/>
              <w:left w:val="nil"/>
              <w:bottom w:val="single" w:sz="8" w:space="0" w:color="8EA9DB"/>
              <w:right w:val="nil"/>
            </w:tcBorders>
            <w:shd w:val="clear" w:color="000000" w:fill="FFFFFF"/>
            <w:noWrap/>
            <w:vAlign w:val="center"/>
            <w:hideMark/>
          </w:tcPr>
          <w:p w14:paraId="4C513BE9"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2023</w:t>
            </w:r>
          </w:p>
        </w:tc>
        <w:tc>
          <w:tcPr>
            <w:tcW w:w="504" w:type="pct"/>
            <w:tcBorders>
              <w:top w:val="single" w:sz="8" w:space="0" w:color="8EA9DB"/>
              <w:left w:val="nil"/>
              <w:bottom w:val="single" w:sz="8" w:space="0" w:color="8EA9DB"/>
              <w:right w:val="nil"/>
            </w:tcBorders>
            <w:shd w:val="clear" w:color="000000" w:fill="FFFFFF"/>
            <w:noWrap/>
            <w:vAlign w:val="center"/>
            <w:hideMark/>
          </w:tcPr>
          <w:p w14:paraId="63744AB6"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2022</w:t>
            </w:r>
          </w:p>
        </w:tc>
        <w:tc>
          <w:tcPr>
            <w:tcW w:w="504" w:type="pct"/>
            <w:tcBorders>
              <w:top w:val="single" w:sz="8" w:space="0" w:color="8EA9DB"/>
              <w:left w:val="nil"/>
              <w:bottom w:val="single" w:sz="8" w:space="0" w:color="8EA9DB"/>
              <w:right w:val="nil"/>
            </w:tcBorders>
            <w:shd w:val="clear" w:color="000000" w:fill="FFFFFF"/>
            <w:noWrap/>
            <w:vAlign w:val="center"/>
            <w:hideMark/>
          </w:tcPr>
          <w:p w14:paraId="7F6305A0"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2021</w:t>
            </w:r>
          </w:p>
        </w:tc>
        <w:tc>
          <w:tcPr>
            <w:tcW w:w="492" w:type="pct"/>
            <w:tcBorders>
              <w:top w:val="single" w:sz="8" w:space="0" w:color="9BC2E6"/>
              <w:left w:val="nil"/>
              <w:bottom w:val="single" w:sz="8" w:space="0" w:color="9BC2E6"/>
              <w:right w:val="nil"/>
            </w:tcBorders>
            <w:shd w:val="clear" w:color="000000" w:fill="FFFFFF"/>
            <w:vAlign w:val="center"/>
            <w:hideMark/>
          </w:tcPr>
          <w:p w14:paraId="14DBBF57"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2022</w:t>
            </w:r>
          </w:p>
        </w:tc>
        <w:tc>
          <w:tcPr>
            <w:tcW w:w="492" w:type="pct"/>
            <w:tcBorders>
              <w:top w:val="single" w:sz="8" w:space="0" w:color="9BC2E6"/>
              <w:left w:val="nil"/>
              <w:bottom w:val="single" w:sz="8" w:space="0" w:color="9BC2E6"/>
              <w:right w:val="nil"/>
            </w:tcBorders>
            <w:shd w:val="clear" w:color="000000" w:fill="FFFFFF"/>
            <w:vAlign w:val="center"/>
            <w:hideMark/>
          </w:tcPr>
          <w:p w14:paraId="4D483BF4"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2021</w:t>
            </w:r>
          </w:p>
        </w:tc>
      </w:tr>
      <w:tr w:rsidR="00227AE1" w:rsidRPr="00393495" w14:paraId="7CC3966C" w14:textId="77777777" w:rsidTr="00052435">
        <w:trPr>
          <w:trHeight w:val="238"/>
        </w:trPr>
        <w:tc>
          <w:tcPr>
            <w:tcW w:w="2506" w:type="pct"/>
            <w:tcBorders>
              <w:top w:val="nil"/>
              <w:left w:val="nil"/>
              <w:bottom w:val="nil"/>
              <w:right w:val="nil"/>
            </w:tcBorders>
            <w:shd w:val="clear" w:color="auto" w:fill="auto"/>
            <w:noWrap/>
            <w:vAlign w:val="center"/>
            <w:hideMark/>
          </w:tcPr>
          <w:p w14:paraId="5A221DB0"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7"/>
                <w:lang w:eastAsia="pt-BR"/>
              </w:rPr>
            </w:pPr>
            <w:r w:rsidRPr="00087F48">
              <w:rPr>
                <w:rFonts w:ascii="Arial" w:hAnsi="Arial" w:cs="Arial"/>
                <w:b/>
                <w:bCs/>
                <w:color w:val="000000"/>
                <w:sz w:val="16"/>
                <w:szCs w:val="17"/>
                <w:lang w:eastAsia="pt-BR"/>
              </w:rPr>
              <w:t>Outras Receitas Operacionais</w:t>
            </w:r>
          </w:p>
        </w:tc>
        <w:tc>
          <w:tcPr>
            <w:tcW w:w="504" w:type="pct"/>
            <w:tcBorders>
              <w:top w:val="nil"/>
              <w:left w:val="nil"/>
              <w:bottom w:val="nil"/>
              <w:right w:val="nil"/>
            </w:tcBorders>
            <w:shd w:val="clear" w:color="auto" w:fill="auto"/>
            <w:noWrap/>
            <w:vAlign w:val="center"/>
            <w:hideMark/>
          </w:tcPr>
          <w:p w14:paraId="69D9CF70"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7"/>
                <w:lang w:eastAsia="pt-BR"/>
              </w:rPr>
            </w:pPr>
          </w:p>
        </w:tc>
        <w:tc>
          <w:tcPr>
            <w:tcW w:w="504" w:type="pct"/>
            <w:tcBorders>
              <w:top w:val="nil"/>
              <w:left w:val="nil"/>
              <w:bottom w:val="nil"/>
              <w:right w:val="nil"/>
            </w:tcBorders>
            <w:shd w:val="clear" w:color="auto" w:fill="auto"/>
            <w:noWrap/>
            <w:vAlign w:val="center"/>
            <w:hideMark/>
          </w:tcPr>
          <w:p w14:paraId="63F7E81B" w14:textId="77777777" w:rsidR="00227AE1" w:rsidRPr="00087F48" w:rsidRDefault="00227AE1" w:rsidP="00227AE1">
            <w:pPr>
              <w:tabs>
                <w:tab w:val="clear" w:pos="851"/>
              </w:tabs>
              <w:spacing w:before="0" w:after="0" w:line="240" w:lineRule="auto"/>
              <w:jc w:val="right"/>
              <w:rPr>
                <w:rFonts w:ascii="Arial" w:hAnsi="Arial" w:cs="Arial"/>
                <w:color w:val="auto"/>
                <w:sz w:val="16"/>
                <w:szCs w:val="20"/>
                <w:lang w:eastAsia="pt-BR"/>
              </w:rPr>
            </w:pPr>
          </w:p>
        </w:tc>
        <w:tc>
          <w:tcPr>
            <w:tcW w:w="504" w:type="pct"/>
            <w:tcBorders>
              <w:top w:val="nil"/>
              <w:left w:val="nil"/>
              <w:bottom w:val="nil"/>
              <w:right w:val="nil"/>
            </w:tcBorders>
            <w:shd w:val="clear" w:color="auto" w:fill="auto"/>
            <w:noWrap/>
            <w:vAlign w:val="center"/>
            <w:hideMark/>
          </w:tcPr>
          <w:p w14:paraId="38904DA5" w14:textId="77777777" w:rsidR="00227AE1" w:rsidRPr="00087F48" w:rsidRDefault="00227AE1" w:rsidP="00227AE1">
            <w:pPr>
              <w:tabs>
                <w:tab w:val="clear" w:pos="851"/>
              </w:tabs>
              <w:spacing w:before="0" w:after="0" w:line="240" w:lineRule="auto"/>
              <w:jc w:val="right"/>
              <w:rPr>
                <w:rFonts w:ascii="Arial" w:hAnsi="Arial" w:cs="Arial"/>
                <w:color w:val="auto"/>
                <w:sz w:val="16"/>
                <w:szCs w:val="20"/>
                <w:lang w:eastAsia="pt-BR"/>
              </w:rPr>
            </w:pPr>
          </w:p>
        </w:tc>
        <w:tc>
          <w:tcPr>
            <w:tcW w:w="492" w:type="pct"/>
            <w:tcBorders>
              <w:top w:val="nil"/>
              <w:left w:val="nil"/>
              <w:bottom w:val="nil"/>
              <w:right w:val="nil"/>
            </w:tcBorders>
            <w:shd w:val="clear" w:color="auto" w:fill="auto"/>
            <w:noWrap/>
            <w:vAlign w:val="center"/>
            <w:hideMark/>
          </w:tcPr>
          <w:p w14:paraId="12FF73C2"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w:t>
            </w:r>
          </w:p>
        </w:tc>
        <w:tc>
          <w:tcPr>
            <w:tcW w:w="492" w:type="pct"/>
            <w:tcBorders>
              <w:top w:val="nil"/>
              <w:left w:val="nil"/>
              <w:bottom w:val="nil"/>
              <w:right w:val="nil"/>
            </w:tcBorders>
            <w:shd w:val="clear" w:color="auto" w:fill="auto"/>
            <w:noWrap/>
            <w:vAlign w:val="center"/>
            <w:hideMark/>
          </w:tcPr>
          <w:p w14:paraId="6D089185"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w:t>
            </w:r>
          </w:p>
        </w:tc>
      </w:tr>
      <w:tr w:rsidR="00227AE1" w:rsidRPr="00393495" w14:paraId="5C6BE5F9" w14:textId="77777777" w:rsidTr="00052435">
        <w:trPr>
          <w:trHeight w:val="238"/>
        </w:trPr>
        <w:tc>
          <w:tcPr>
            <w:tcW w:w="2506" w:type="pct"/>
            <w:tcBorders>
              <w:top w:val="nil"/>
              <w:left w:val="nil"/>
              <w:bottom w:val="nil"/>
              <w:right w:val="nil"/>
            </w:tcBorders>
            <w:shd w:val="clear" w:color="auto" w:fill="auto"/>
            <w:noWrap/>
            <w:vAlign w:val="center"/>
            <w:hideMark/>
          </w:tcPr>
          <w:p w14:paraId="766E97DB" w14:textId="77777777"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t>Subvenções Recebidas (i)</w:t>
            </w:r>
          </w:p>
        </w:tc>
        <w:tc>
          <w:tcPr>
            <w:tcW w:w="504" w:type="pct"/>
            <w:tcBorders>
              <w:top w:val="nil"/>
              <w:left w:val="nil"/>
              <w:bottom w:val="nil"/>
              <w:right w:val="nil"/>
            </w:tcBorders>
            <w:shd w:val="clear" w:color="auto" w:fill="auto"/>
            <w:noWrap/>
            <w:vAlign w:val="center"/>
            <w:hideMark/>
          </w:tcPr>
          <w:p w14:paraId="0BC498AF"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240.187 </w:t>
            </w:r>
          </w:p>
        </w:tc>
        <w:tc>
          <w:tcPr>
            <w:tcW w:w="504" w:type="pct"/>
            <w:tcBorders>
              <w:top w:val="nil"/>
              <w:left w:val="nil"/>
              <w:bottom w:val="nil"/>
              <w:right w:val="nil"/>
            </w:tcBorders>
            <w:shd w:val="clear" w:color="auto" w:fill="auto"/>
            <w:noWrap/>
            <w:vAlign w:val="center"/>
            <w:hideMark/>
          </w:tcPr>
          <w:p w14:paraId="10222940"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241.525 </w:t>
            </w:r>
          </w:p>
        </w:tc>
        <w:tc>
          <w:tcPr>
            <w:tcW w:w="504" w:type="pct"/>
            <w:tcBorders>
              <w:top w:val="nil"/>
              <w:left w:val="nil"/>
              <w:bottom w:val="nil"/>
              <w:right w:val="nil"/>
            </w:tcBorders>
            <w:shd w:val="clear" w:color="auto" w:fill="auto"/>
            <w:noWrap/>
            <w:vAlign w:val="center"/>
            <w:hideMark/>
          </w:tcPr>
          <w:p w14:paraId="09952E28"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216.554 </w:t>
            </w:r>
          </w:p>
        </w:tc>
        <w:tc>
          <w:tcPr>
            <w:tcW w:w="492" w:type="pct"/>
            <w:tcBorders>
              <w:top w:val="nil"/>
              <w:left w:val="nil"/>
              <w:bottom w:val="nil"/>
              <w:right w:val="nil"/>
            </w:tcBorders>
            <w:shd w:val="clear" w:color="auto" w:fill="auto"/>
            <w:noWrap/>
            <w:vAlign w:val="center"/>
            <w:hideMark/>
          </w:tcPr>
          <w:p w14:paraId="3B1866F5"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-0,6%</w:t>
            </w:r>
          </w:p>
        </w:tc>
        <w:tc>
          <w:tcPr>
            <w:tcW w:w="492" w:type="pct"/>
            <w:tcBorders>
              <w:top w:val="nil"/>
              <w:left w:val="nil"/>
              <w:bottom w:val="nil"/>
              <w:right w:val="nil"/>
            </w:tcBorders>
            <w:shd w:val="clear" w:color="auto" w:fill="auto"/>
            <w:noWrap/>
            <w:vAlign w:val="center"/>
            <w:hideMark/>
          </w:tcPr>
          <w:p w14:paraId="3232A836"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10,9%</w:t>
            </w:r>
          </w:p>
        </w:tc>
      </w:tr>
      <w:tr w:rsidR="00227AE1" w:rsidRPr="00393495" w14:paraId="7C5B1F11" w14:textId="77777777" w:rsidTr="00052435">
        <w:trPr>
          <w:trHeight w:val="238"/>
        </w:trPr>
        <w:tc>
          <w:tcPr>
            <w:tcW w:w="2506" w:type="pct"/>
            <w:tcBorders>
              <w:top w:val="nil"/>
              <w:left w:val="nil"/>
              <w:bottom w:val="nil"/>
              <w:right w:val="nil"/>
            </w:tcBorders>
            <w:shd w:val="clear" w:color="auto" w:fill="auto"/>
            <w:noWrap/>
            <w:vAlign w:val="center"/>
            <w:hideMark/>
          </w:tcPr>
          <w:p w14:paraId="326270CD" w14:textId="77777777"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t>Fundo de Previdência Privada Fechado (</w:t>
            </w:r>
            <w:proofErr w:type="spellStart"/>
            <w:r w:rsidRPr="00087F48">
              <w:rPr>
                <w:rFonts w:ascii="Arial" w:hAnsi="Arial" w:cs="Arial"/>
                <w:color w:val="000000"/>
                <w:sz w:val="16"/>
                <w:szCs w:val="17"/>
                <w:lang w:eastAsia="pt-BR"/>
              </w:rPr>
              <w:t>ii</w:t>
            </w:r>
            <w:proofErr w:type="spellEnd"/>
            <w:r w:rsidRPr="00087F48">
              <w:rPr>
                <w:rFonts w:ascii="Arial" w:hAnsi="Arial" w:cs="Arial"/>
                <w:color w:val="000000"/>
                <w:sz w:val="16"/>
                <w:szCs w:val="17"/>
                <w:lang w:eastAsia="pt-BR"/>
              </w:rPr>
              <w:t>)</w:t>
            </w:r>
          </w:p>
        </w:tc>
        <w:tc>
          <w:tcPr>
            <w:tcW w:w="504" w:type="pct"/>
            <w:tcBorders>
              <w:top w:val="nil"/>
              <w:left w:val="nil"/>
              <w:bottom w:val="nil"/>
              <w:right w:val="nil"/>
            </w:tcBorders>
            <w:shd w:val="clear" w:color="auto" w:fill="auto"/>
            <w:noWrap/>
            <w:vAlign w:val="center"/>
            <w:hideMark/>
          </w:tcPr>
          <w:p w14:paraId="058E3F2B"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33.912 </w:t>
            </w:r>
          </w:p>
        </w:tc>
        <w:tc>
          <w:tcPr>
            <w:tcW w:w="504" w:type="pct"/>
            <w:tcBorders>
              <w:top w:val="nil"/>
              <w:left w:val="nil"/>
              <w:bottom w:val="nil"/>
              <w:right w:val="nil"/>
            </w:tcBorders>
            <w:shd w:val="clear" w:color="auto" w:fill="auto"/>
            <w:noWrap/>
            <w:vAlign w:val="center"/>
            <w:hideMark/>
          </w:tcPr>
          <w:p w14:paraId="3D1A0E2B"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   </w:t>
            </w:r>
          </w:p>
        </w:tc>
        <w:tc>
          <w:tcPr>
            <w:tcW w:w="504" w:type="pct"/>
            <w:tcBorders>
              <w:top w:val="nil"/>
              <w:left w:val="nil"/>
              <w:bottom w:val="nil"/>
              <w:right w:val="nil"/>
            </w:tcBorders>
            <w:shd w:val="clear" w:color="auto" w:fill="auto"/>
            <w:noWrap/>
            <w:vAlign w:val="center"/>
            <w:hideMark/>
          </w:tcPr>
          <w:p w14:paraId="2B9E4E48"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   </w:t>
            </w:r>
          </w:p>
        </w:tc>
        <w:tc>
          <w:tcPr>
            <w:tcW w:w="492" w:type="pct"/>
            <w:tcBorders>
              <w:top w:val="nil"/>
              <w:left w:val="nil"/>
              <w:bottom w:val="nil"/>
              <w:right w:val="nil"/>
            </w:tcBorders>
            <w:shd w:val="clear" w:color="auto" w:fill="auto"/>
            <w:noWrap/>
            <w:vAlign w:val="center"/>
            <w:hideMark/>
          </w:tcPr>
          <w:p w14:paraId="732DDEA5"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100,0%</w:t>
            </w:r>
          </w:p>
        </w:tc>
        <w:tc>
          <w:tcPr>
            <w:tcW w:w="492" w:type="pct"/>
            <w:tcBorders>
              <w:top w:val="nil"/>
              <w:left w:val="nil"/>
              <w:bottom w:val="nil"/>
              <w:right w:val="nil"/>
            </w:tcBorders>
            <w:shd w:val="clear" w:color="auto" w:fill="auto"/>
            <w:noWrap/>
            <w:vAlign w:val="center"/>
            <w:hideMark/>
          </w:tcPr>
          <w:p w14:paraId="41C34C83"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100,0%</w:t>
            </w:r>
          </w:p>
        </w:tc>
      </w:tr>
      <w:tr w:rsidR="00227AE1" w:rsidRPr="00393495" w14:paraId="66E2F195" w14:textId="77777777" w:rsidTr="00052435">
        <w:trPr>
          <w:trHeight w:val="238"/>
        </w:trPr>
        <w:tc>
          <w:tcPr>
            <w:tcW w:w="2506" w:type="pct"/>
            <w:tcBorders>
              <w:top w:val="nil"/>
              <w:left w:val="nil"/>
              <w:bottom w:val="nil"/>
              <w:right w:val="nil"/>
            </w:tcBorders>
            <w:shd w:val="clear" w:color="auto" w:fill="auto"/>
            <w:noWrap/>
            <w:vAlign w:val="center"/>
            <w:hideMark/>
          </w:tcPr>
          <w:p w14:paraId="4EC3DB71" w14:textId="77777777"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t xml:space="preserve">Recuperação de Tributos </w:t>
            </w:r>
          </w:p>
        </w:tc>
        <w:tc>
          <w:tcPr>
            <w:tcW w:w="504" w:type="pct"/>
            <w:tcBorders>
              <w:top w:val="nil"/>
              <w:left w:val="nil"/>
              <w:bottom w:val="nil"/>
              <w:right w:val="nil"/>
            </w:tcBorders>
            <w:shd w:val="clear" w:color="auto" w:fill="auto"/>
            <w:noWrap/>
            <w:vAlign w:val="center"/>
            <w:hideMark/>
          </w:tcPr>
          <w:p w14:paraId="4AC65917"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9.450 </w:t>
            </w:r>
          </w:p>
        </w:tc>
        <w:tc>
          <w:tcPr>
            <w:tcW w:w="504" w:type="pct"/>
            <w:tcBorders>
              <w:top w:val="nil"/>
              <w:left w:val="nil"/>
              <w:bottom w:val="nil"/>
              <w:right w:val="nil"/>
            </w:tcBorders>
            <w:shd w:val="clear" w:color="auto" w:fill="auto"/>
            <w:noWrap/>
            <w:vAlign w:val="center"/>
            <w:hideMark/>
          </w:tcPr>
          <w:p w14:paraId="3654956F"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3.041 </w:t>
            </w:r>
          </w:p>
        </w:tc>
        <w:tc>
          <w:tcPr>
            <w:tcW w:w="504" w:type="pct"/>
            <w:tcBorders>
              <w:top w:val="nil"/>
              <w:left w:val="nil"/>
              <w:bottom w:val="nil"/>
              <w:right w:val="nil"/>
            </w:tcBorders>
            <w:shd w:val="clear" w:color="auto" w:fill="auto"/>
            <w:noWrap/>
            <w:vAlign w:val="center"/>
            <w:hideMark/>
          </w:tcPr>
          <w:p w14:paraId="65F58123"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9.087 </w:t>
            </w:r>
          </w:p>
        </w:tc>
        <w:tc>
          <w:tcPr>
            <w:tcW w:w="492" w:type="pct"/>
            <w:tcBorders>
              <w:top w:val="nil"/>
              <w:left w:val="nil"/>
              <w:bottom w:val="nil"/>
              <w:right w:val="nil"/>
            </w:tcBorders>
            <w:shd w:val="clear" w:color="auto" w:fill="auto"/>
            <w:noWrap/>
            <w:vAlign w:val="center"/>
            <w:hideMark/>
          </w:tcPr>
          <w:p w14:paraId="1668164D"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210,8%</w:t>
            </w:r>
          </w:p>
        </w:tc>
        <w:tc>
          <w:tcPr>
            <w:tcW w:w="492" w:type="pct"/>
            <w:tcBorders>
              <w:top w:val="nil"/>
              <w:left w:val="nil"/>
              <w:bottom w:val="nil"/>
              <w:right w:val="nil"/>
            </w:tcBorders>
            <w:shd w:val="clear" w:color="auto" w:fill="auto"/>
            <w:noWrap/>
            <w:vAlign w:val="center"/>
            <w:hideMark/>
          </w:tcPr>
          <w:p w14:paraId="322C41BE"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4,0%</w:t>
            </w:r>
          </w:p>
        </w:tc>
      </w:tr>
      <w:tr w:rsidR="00227AE1" w:rsidRPr="00393495" w14:paraId="41086AB3" w14:textId="77777777" w:rsidTr="00052435">
        <w:trPr>
          <w:trHeight w:val="238"/>
        </w:trPr>
        <w:tc>
          <w:tcPr>
            <w:tcW w:w="2506" w:type="pct"/>
            <w:tcBorders>
              <w:top w:val="nil"/>
              <w:left w:val="nil"/>
              <w:bottom w:val="nil"/>
              <w:right w:val="nil"/>
            </w:tcBorders>
            <w:shd w:val="clear" w:color="auto" w:fill="auto"/>
            <w:noWrap/>
            <w:vAlign w:val="center"/>
            <w:hideMark/>
          </w:tcPr>
          <w:p w14:paraId="2B5ADFFC" w14:textId="77777777"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t xml:space="preserve">Rever. de Prov. p/ Riscos Trab., Cíveis, </w:t>
            </w:r>
            <w:proofErr w:type="gramStart"/>
            <w:r w:rsidRPr="00087F48">
              <w:rPr>
                <w:rFonts w:ascii="Arial" w:hAnsi="Arial" w:cs="Arial"/>
                <w:color w:val="000000"/>
                <w:sz w:val="16"/>
                <w:szCs w:val="17"/>
                <w:lang w:eastAsia="pt-BR"/>
              </w:rPr>
              <w:t>Fiscais</w:t>
            </w:r>
            <w:proofErr w:type="gramEnd"/>
          </w:p>
        </w:tc>
        <w:tc>
          <w:tcPr>
            <w:tcW w:w="504" w:type="pct"/>
            <w:tcBorders>
              <w:top w:val="nil"/>
              <w:left w:val="nil"/>
              <w:bottom w:val="nil"/>
              <w:right w:val="nil"/>
            </w:tcBorders>
            <w:shd w:val="clear" w:color="auto" w:fill="auto"/>
            <w:noWrap/>
            <w:vAlign w:val="center"/>
            <w:hideMark/>
          </w:tcPr>
          <w:p w14:paraId="584F8DE1"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9.213 </w:t>
            </w:r>
          </w:p>
        </w:tc>
        <w:tc>
          <w:tcPr>
            <w:tcW w:w="504" w:type="pct"/>
            <w:tcBorders>
              <w:top w:val="nil"/>
              <w:left w:val="nil"/>
              <w:bottom w:val="nil"/>
              <w:right w:val="nil"/>
            </w:tcBorders>
            <w:shd w:val="clear" w:color="auto" w:fill="auto"/>
            <w:noWrap/>
            <w:vAlign w:val="center"/>
            <w:hideMark/>
          </w:tcPr>
          <w:p w14:paraId="7F02C794"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8.550 </w:t>
            </w:r>
          </w:p>
        </w:tc>
        <w:tc>
          <w:tcPr>
            <w:tcW w:w="504" w:type="pct"/>
            <w:tcBorders>
              <w:top w:val="nil"/>
              <w:left w:val="nil"/>
              <w:bottom w:val="nil"/>
              <w:right w:val="nil"/>
            </w:tcBorders>
            <w:shd w:val="clear" w:color="auto" w:fill="auto"/>
            <w:noWrap/>
            <w:vAlign w:val="center"/>
            <w:hideMark/>
          </w:tcPr>
          <w:p w14:paraId="28AF669D"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360 </w:t>
            </w:r>
          </w:p>
        </w:tc>
        <w:tc>
          <w:tcPr>
            <w:tcW w:w="492" w:type="pct"/>
            <w:tcBorders>
              <w:top w:val="nil"/>
              <w:left w:val="nil"/>
              <w:bottom w:val="nil"/>
              <w:right w:val="nil"/>
            </w:tcBorders>
            <w:shd w:val="clear" w:color="auto" w:fill="auto"/>
            <w:noWrap/>
            <w:vAlign w:val="center"/>
            <w:hideMark/>
          </w:tcPr>
          <w:p w14:paraId="6C005399"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7,8%</w:t>
            </w:r>
          </w:p>
        </w:tc>
        <w:tc>
          <w:tcPr>
            <w:tcW w:w="492" w:type="pct"/>
            <w:tcBorders>
              <w:top w:val="nil"/>
              <w:left w:val="nil"/>
              <w:bottom w:val="nil"/>
              <w:right w:val="nil"/>
            </w:tcBorders>
            <w:shd w:val="clear" w:color="auto" w:fill="auto"/>
            <w:noWrap/>
            <w:vAlign w:val="center"/>
            <w:hideMark/>
          </w:tcPr>
          <w:p w14:paraId="6394081F"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2459,2%</w:t>
            </w:r>
          </w:p>
        </w:tc>
      </w:tr>
      <w:tr w:rsidR="00227AE1" w:rsidRPr="00393495" w14:paraId="1802EC5F" w14:textId="77777777" w:rsidTr="00052435">
        <w:trPr>
          <w:trHeight w:val="238"/>
        </w:trPr>
        <w:tc>
          <w:tcPr>
            <w:tcW w:w="2506" w:type="pct"/>
            <w:tcBorders>
              <w:top w:val="nil"/>
              <w:left w:val="nil"/>
              <w:bottom w:val="nil"/>
              <w:right w:val="nil"/>
            </w:tcBorders>
            <w:shd w:val="clear" w:color="auto" w:fill="auto"/>
            <w:noWrap/>
            <w:vAlign w:val="center"/>
            <w:hideMark/>
          </w:tcPr>
          <w:p w14:paraId="7AF21BE8" w14:textId="77777777"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t>Ganhos sobre o Passivo (</w:t>
            </w:r>
            <w:proofErr w:type="spellStart"/>
            <w:r w:rsidRPr="00087F48">
              <w:rPr>
                <w:rFonts w:ascii="Arial" w:hAnsi="Arial" w:cs="Arial"/>
                <w:color w:val="000000"/>
                <w:sz w:val="16"/>
                <w:szCs w:val="17"/>
                <w:lang w:eastAsia="pt-BR"/>
              </w:rPr>
              <w:t>iii</w:t>
            </w:r>
            <w:proofErr w:type="spellEnd"/>
            <w:r w:rsidRPr="00087F48">
              <w:rPr>
                <w:rFonts w:ascii="Arial" w:hAnsi="Arial" w:cs="Arial"/>
                <w:color w:val="000000"/>
                <w:sz w:val="16"/>
                <w:szCs w:val="17"/>
                <w:lang w:eastAsia="pt-BR"/>
              </w:rPr>
              <w:t>)</w:t>
            </w:r>
          </w:p>
        </w:tc>
        <w:tc>
          <w:tcPr>
            <w:tcW w:w="504" w:type="pct"/>
            <w:tcBorders>
              <w:top w:val="nil"/>
              <w:left w:val="nil"/>
              <w:bottom w:val="nil"/>
              <w:right w:val="nil"/>
            </w:tcBorders>
            <w:shd w:val="clear" w:color="auto" w:fill="auto"/>
            <w:noWrap/>
            <w:vAlign w:val="center"/>
            <w:hideMark/>
          </w:tcPr>
          <w:p w14:paraId="35258D0A"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417 </w:t>
            </w:r>
          </w:p>
        </w:tc>
        <w:tc>
          <w:tcPr>
            <w:tcW w:w="504" w:type="pct"/>
            <w:tcBorders>
              <w:top w:val="nil"/>
              <w:left w:val="nil"/>
              <w:bottom w:val="nil"/>
              <w:right w:val="nil"/>
            </w:tcBorders>
            <w:shd w:val="clear" w:color="auto" w:fill="auto"/>
            <w:noWrap/>
            <w:vAlign w:val="center"/>
            <w:hideMark/>
          </w:tcPr>
          <w:p w14:paraId="7CA098EA"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474 </w:t>
            </w:r>
          </w:p>
        </w:tc>
        <w:tc>
          <w:tcPr>
            <w:tcW w:w="504" w:type="pct"/>
            <w:tcBorders>
              <w:top w:val="nil"/>
              <w:left w:val="nil"/>
              <w:bottom w:val="nil"/>
              <w:right w:val="nil"/>
            </w:tcBorders>
            <w:shd w:val="clear" w:color="auto" w:fill="auto"/>
            <w:noWrap/>
            <w:vAlign w:val="center"/>
            <w:hideMark/>
          </w:tcPr>
          <w:p w14:paraId="38173282"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15.501 </w:t>
            </w:r>
          </w:p>
        </w:tc>
        <w:tc>
          <w:tcPr>
            <w:tcW w:w="492" w:type="pct"/>
            <w:tcBorders>
              <w:top w:val="nil"/>
              <w:left w:val="nil"/>
              <w:bottom w:val="nil"/>
              <w:right w:val="nil"/>
            </w:tcBorders>
            <w:shd w:val="clear" w:color="auto" w:fill="auto"/>
            <w:noWrap/>
            <w:vAlign w:val="center"/>
            <w:hideMark/>
          </w:tcPr>
          <w:p w14:paraId="6CF97579"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-12,0%</w:t>
            </w:r>
          </w:p>
        </w:tc>
        <w:tc>
          <w:tcPr>
            <w:tcW w:w="492" w:type="pct"/>
            <w:tcBorders>
              <w:top w:val="nil"/>
              <w:left w:val="nil"/>
              <w:bottom w:val="nil"/>
              <w:right w:val="nil"/>
            </w:tcBorders>
            <w:shd w:val="clear" w:color="auto" w:fill="auto"/>
            <w:noWrap/>
            <w:vAlign w:val="center"/>
            <w:hideMark/>
          </w:tcPr>
          <w:p w14:paraId="391C9167"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-97,3%</w:t>
            </w:r>
          </w:p>
        </w:tc>
      </w:tr>
      <w:tr w:rsidR="00227AE1" w:rsidRPr="00393495" w14:paraId="295DFEDD" w14:textId="77777777" w:rsidTr="00052435">
        <w:trPr>
          <w:trHeight w:val="238"/>
        </w:trPr>
        <w:tc>
          <w:tcPr>
            <w:tcW w:w="2506" w:type="pct"/>
            <w:tcBorders>
              <w:top w:val="nil"/>
              <w:left w:val="nil"/>
              <w:bottom w:val="nil"/>
              <w:right w:val="nil"/>
            </w:tcBorders>
            <w:shd w:val="clear" w:color="auto" w:fill="auto"/>
            <w:noWrap/>
            <w:vAlign w:val="center"/>
            <w:hideMark/>
          </w:tcPr>
          <w:p w14:paraId="4332A4B8" w14:textId="77777777"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t>Outras Receitas Operacionais</w:t>
            </w:r>
          </w:p>
        </w:tc>
        <w:tc>
          <w:tcPr>
            <w:tcW w:w="504" w:type="pct"/>
            <w:tcBorders>
              <w:top w:val="nil"/>
              <w:left w:val="nil"/>
              <w:bottom w:val="nil"/>
              <w:right w:val="nil"/>
            </w:tcBorders>
            <w:shd w:val="clear" w:color="auto" w:fill="auto"/>
            <w:noWrap/>
            <w:vAlign w:val="center"/>
            <w:hideMark/>
          </w:tcPr>
          <w:p w14:paraId="08E60721"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3.693 </w:t>
            </w:r>
          </w:p>
        </w:tc>
        <w:tc>
          <w:tcPr>
            <w:tcW w:w="504" w:type="pct"/>
            <w:tcBorders>
              <w:top w:val="nil"/>
              <w:left w:val="nil"/>
              <w:bottom w:val="nil"/>
              <w:right w:val="nil"/>
            </w:tcBorders>
            <w:shd w:val="clear" w:color="auto" w:fill="auto"/>
            <w:noWrap/>
            <w:vAlign w:val="center"/>
            <w:hideMark/>
          </w:tcPr>
          <w:p w14:paraId="7BAC401F"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1.865 </w:t>
            </w:r>
          </w:p>
        </w:tc>
        <w:tc>
          <w:tcPr>
            <w:tcW w:w="504" w:type="pct"/>
            <w:tcBorders>
              <w:top w:val="nil"/>
              <w:left w:val="nil"/>
              <w:bottom w:val="nil"/>
              <w:right w:val="nil"/>
            </w:tcBorders>
            <w:shd w:val="clear" w:color="auto" w:fill="auto"/>
            <w:noWrap/>
            <w:vAlign w:val="center"/>
            <w:hideMark/>
          </w:tcPr>
          <w:p w14:paraId="1A24DBE0"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1.561 </w:t>
            </w:r>
          </w:p>
        </w:tc>
        <w:tc>
          <w:tcPr>
            <w:tcW w:w="492" w:type="pct"/>
            <w:tcBorders>
              <w:top w:val="nil"/>
              <w:left w:val="nil"/>
              <w:bottom w:val="nil"/>
              <w:right w:val="nil"/>
            </w:tcBorders>
            <w:shd w:val="clear" w:color="auto" w:fill="auto"/>
            <w:noWrap/>
            <w:vAlign w:val="center"/>
            <w:hideMark/>
          </w:tcPr>
          <w:p w14:paraId="1313E889"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98,0%</w:t>
            </w:r>
          </w:p>
        </w:tc>
        <w:tc>
          <w:tcPr>
            <w:tcW w:w="492" w:type="pct"/>
            <w:tcBorders>
              <w:top w:val="nil"/>
              <w:left w:val="nil"/>
              <w:bottom w:val="nil"/>
              <w:right w:val="nil"/>
            </w:tcBorders>
            <w:shd w:val="clear" w:color="auto" w:fill="auto"/>
            <w:noWrap/>
            <w:vAlign w:val="center"/>
            <w:hideMark/>
          </w:tcPr>
          <w:p w14:paraId="7DCC802B"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136,6%</w:t>
            </w:r>
          </w:p>
        </w:tc>
      </w:tr>
      <w:tr w:rsidR="00227AE1" w:rsidRPr="00393495" w14:paraId="4D0E3D45" w14:textId="77777777" w:rsidTr="00052435">
        <w:trPr>
          <w:trHeight w:val="238"/>
        </w:trPr>
        <w:tc>
          <w:tcPr>
            <w:tcW w:w="2506" w:type="pct"/>
            <w:tcBorders>
              <w:top w:val="single" w:sz="8" w:space="0" w:color="9BC2E6"/>
              <w:left w:val="nil"/>
              <w:bottom w:val="single" w:sz="8" w:space="0" w:color="9BC2E6"/>
              <w:right w:val="nil"/>
            </w:tcBorders>
            <w:shd w:val="clear" w:color="auto" w:fill="auto"/>
            <w:noWrap/>
            <w:vAlign w:val="center"/>
            <w:hideMark/>
          </w:tcPr>
          <w:p w14:paraId="160726E6"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8"/>
                <w:lang w:eastAsia="pt-BR"/>
              </w:rPr>
            </w:pPr>
            <w:r w:rsidRPr="00087F48">
              <w:rPr>
                <w:rFonts w:ascii="Arial" w:hAnsi="Arial" w:cs="Arial"/>
                <w:b/>
                <w:bCs/>
                <w:color w:val="000000"/>
                <w:sz w:val="16"/>
                <w:szCs w:val="18"/>
                <w:lang w:eastAsia="pt-BR"/>
              </w:rPr>
              <w:t>Total</w:t>
            </w:r>
          </w:p>
        </w:tc>
        <w:tc>
          <w:tcPr>
            <w:tcW w:w="504" w:type="pct"/>
            <w:tcBorders>
              <w:top w:val="single" w:sz="8" w:space="0" w:color="9BC2E6"/>
              <w:left w:val="nil"/>
              <w:bottom w:val="single" w:sz="8" w:space="0" w:color="9BC2E6"/>
              <w:right w:val="nil"/>
            </w:tcBorders>
            <w:shd w:val="clear" w:color="auto" w:fill="auto"/>
            <w:noWrap/>
            <w:vAlign w:val="center"/>
            <w:hideMark/>
          </w:tcPr>
          <w:p w14:paraId="2B6C0B64"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296.872 </w:t>
            </w:r>
          </w:p>
        </w:tc>
        <w:tc>
          <w:tcPr>
            <w:tcW w:w="504" w:type="pct"/>
            <w:tcBorders>
              <w:top w:val="single" w:sz="8" w:space="0" w:color="9BC2E6"/>
              <w:left w:val="nil"/>
              <w:bottom w:val="single" w:sz="8" w:space="0" w:color="9BC2E6"/>
              <w:right w:val="nil"/>
            </w:tcBorders>
            <w:shd w:val="clear" w:color="auto" w:fill="auto"/>
            <w:noWrap/>
            <w:vAlign w:val="center"/>
            <w:hideMark/>
          </w:tcPr>
          <w:p w14:paraId="6AFDB9E4"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255.455 </w:t>
            </w:r>
          </w:p>
        </w:tc>
        <w:tc>
          <w:tcPr>
            <w:tcW w:w="504" w:type="pct"/>
            <w:tcBorders>
              <w:top w:val="single" w:sz="8" w:space="0" w:color="9BC2E6"/>
              <w:left w:val="nil"/>
              <w:bottom w:val="single" w:sz="8" w:space="0" w:color="9BC2E6"/>
              <w:right w:val="nil"/>
            </w:tcBorders>
            <w:shd w:val="clear" w:color="auto" w:fill="auto"/>
            <w:noWrap/>
            <w:vAlign w:val="center"/>
            <w:hideMark/>
          </w:tcPr>
          <w:p w14:paraId="22D1535F"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243.063 </w:t>
            </w:r>
          </w:p>
        </w:tc>
        <w:tc>
          <w:tcPr>
            <w:tcW w:w="492" w:type="pct"/>
            <w:tcBorders>
              <w:top w:val="single" w:sz="8" w:space="0" w:color="9BC2E6"/>
              <w:left w:val="nil"/>
              <w:bottom w:val="single" w:sz="8" w:space="0" w:color="9BC2E6"/>
              <w:right w:val="nil"/>
            </w:tcBorders>
            <w:shd w:val="clear" w:color="auto" w:fill="auto"/>
            <w:noWrap/>
            <w:vAlign w:val="center"/>
            <w:hideMark/>
          </w:tcPr>
          <w:p w14:paraId="53781A95"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16,2%</w:t>
            </w:r>
          </w:p>
        </w:tc>
        <w:tc>
          <w:tcPr>
            <w:tcW w:w="492" w:type="pct"/>
            <w:tcBorders>
              <w:top w:val="single" w:sz="8" w:space="0" w:color="9BC2E6"/>
              <w:left w:val="nil"/>
              <w:bottom w:val="single" w:sz="8" w:space="0" w:color="9BC2E6"/>
              <w:right w:val="nil"/>
            </w:tcBorders>
            <w:shd w:val="clear" w:color="auto" w:fill="auto"/>
            <w:noWrap/>
            <w:vAlign w:val="center"/>
            <w:hideMark/>
          </w:tcPr>
          <w:p w14:paraId="41A0B360"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22,1%</w:t>
            </w:r>
          </w:p>
        </w:tc>
      </w:tr>
      <w:tr w:rsidR="00227AE1" w:rsidRPr="00393495" w14:paraId="0CD5BD71" w14:textId="77777777" w:rsidTr="00052435">
        <w:trPr>
          <w:trHeight w:val="238"/>
        </w:trPr>
        <w:tc>
          <w:tcPr>
            <w:tcW w:w="2506" w:type="pct"/>
            <w:tcBorders>
              <w:top w:val="nil"/>
              <w:left w:val="nil"/>
              <w:bottom w:val="nil"/>
              <w:right w:val="nil"/>
            </w:tcBorders>
            <w:shd w:val="clear" w:color="auto" w:fill="auto"/>
            <w:noWrap/>
            <w:vAlign w:val="center"/>
            <w:hideMark/>
          </w:tcPr>
          <w:p w14:paraId="36516046"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7"/>
                <w:lang w:eastAsia="pt-BR"/>
              </w:rPr>
            </w:pPr>
            <w:r w:rsidRPr="00087F48">
              <w:rPr>
                <w:rFonts w:ascii="Arial" w:hAnsi="Arial" w:cs="Arial"/>
                <w:b/>
                <w:bCs/>
                <w:color w:val="000000"/>
                <w:sz w:val="16"/>
                <w:szCs w:val="17"/>
                <w:lang w:eastAsia="pt-BR"/>
              </w:rPr>
              <w:t xml:space="preserve">Outras Despesas Operacionais </w:t>
            </w:r>
          </w:p>
        </w:tc>
        <w:tc>
          <w:tcPr>
            <w:tcW w:w="504" w:type="pct"/>
            <w:tcBorders>
              <w:top w:val="nil"/>
              <w:left w:val="nil"/>
              <w:bottom w:val="nil"/>
              <w:right w:val="nil"/>
            </w:tcBorders>
            <w:shd w:val="clear" w:color="auto" w:fill="auto"/>
            <w:noWrap/>
            <w:vAlign w:val="center"/>
            <w:hideMark/>
          </w:tcPr>
          <w:p w14:paraId="6AE73FF5"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7"/>
                <w:lang w:eastAsia="pt-BR"/>
              </w:rPr>
            </w:pPr>
          </w:p>
        </w:tc>
        <w:tc>
          <w:tcPr>
            <w:tcW w:w="504" w:type="pct"/>
            <w:tcBorders>
              <w:top w:val="nil"/>
              <w:left w:val="nil"/>
              <w:bottom w:val="nil"/>
              <w:right w:val="nil"/>
            </w:tcBorders>
            <w:shd w:val="clear" w:color="auto" w:fill="auto"/>
            <w:noWrap/>
            <w:vAlign w:val="center"/>
            <w:hideMark/>
          </w:tcPr>
          <w:p w14:paraId="448D94BD" w14:textId="77777777" w:rsidR="00227AE1" w:rsidRPr="00087F48" w:rsidRDefault="00227AE1" w:rsidP="00227AE1">
            <w:pPr>
              <w:tabs>
                <w:tab w:val="clear" w:pos="851"/>
              </w:tabs>
              <w:spacing w:before="0" w:after="0" w:line="240" w:lineRule="auto"/>
              <w:jc w:val="right"/>
              <w:rPr>
                <w:rFonts w:ascii="Arial" w:hAnsi="Arial" w:cs="Arial"/>
                <w:color w:val="auto"/>
                <w:sz w:val="16"/>
                <w:szCs w:val="20"/>
                <w:lang w:eastAsia="pt-BR"/>
              </w:rPr>
            </w:pPr>
          </w:p>
        </w:tc>
        <w:tc>
          <w:tcPr>
            <w:tcW w:w="504" w:type="pct"/>
            <w:tcBorders>
              <w:top w:val="nil"/>
              <w:left w:val="nil"/>
              <w:bottom w:val="nil"/>
              <w:right w:val="nil"/>
            </w:tcBorders>
            <w:shd w:val="clear" w:color="auto" w:fill="auto"/>
            <w:noWrap/>
            <w:vAlign w:val="center"/>
            <w:hideMark/>
          </w:tcPr>
          <w:p w14:paraId="068FDE85" w14:textId="77777777" w:rsidR="00227AE1" w:rsidRPr="00087F48" w:rsidRDefault="00227AE1" w:rsidP="00227AE1">
            <w:pPr>
              <w:tabs>
                <w:tab w:val="clear" w:pos="851"/>
              </w:tabs>
              <w:spacing w:before="0" w:after="0" w:line="240" w:lineRule="auto"/>
              <w:jc w:val="right"/>
              <w:rPr>
                <w:rFonts w:ascii="Arial" w:hAnsi="Arial" w:cs="Arial"/>
                <w:color w:val="auto"/>
                <w:sz w:val="16"/>
                <w:szCs w:val="20"/>
                <w:lang w:eastAsia="pt-BR"/>
              </w:rPr>
            </w:pPr>
          </w:p>
        </w:tc>
        <w:tc>
          <w:tcPr>
            <w:tcW w:w="492" w:type="pct"/>
            <w:tcBorders>
              <w:top w:val="nil"/>
              <w:left w:val="nil"/>
              <w:bottom w:val="nil"/>
              <w:right w:val="nil"/>
            </w:tcBorders>
            <w:shd w:val="clear" w:color="auto" w:fill="auto"/>
            <w:noWrap/>
            <w:vAlign w:val="center"/>
            <w:hideMark/>
          </w:tcPr>
          <w:p w14:paraId="58584F35" w14:textId="77777777" w:rsidR="00227AE1" w:rsidRPr="00087F48" w:rsidRDefault="00227AE1" w:rsidP="00227AE1">
            <w:pPr>
              <w:tabs>
                <w:tab w:val="clear" w:pos="851"/>
              </w:tabs>
              <w:spacing w:before="0" w:after="0" w:line="240" w:lineRule="auto"/>
              <w:jc w:val="right"/>
              <w:rPr>
                <w:rFonts w:ascii="Arial" w:hAnsi="Arial" w:cs="Arial"/>
                <w:color w:val="auto"/>
                <w:sz w:val="16"/>
                <w:szCs w:val="20"/>
                <w:lang w:eastAsia="pt-BR"/>
              </w:rPr>
            </w:pPr>
          </w:p>
        </w:tc>
        <w:tc>
          <w:tcPr>
            <w:tcW w:w="492" w:type="pct"/>
            <w:tcBorders>
              <w:top w:val="nil"/>
              <w:left w:val="nil"/>
              <w:bottom w:val="nil"/>
              <w:right w:val="nil"/>
            </w:tcBorders>
            <w:shd w:val="clear" w:color="auto" w:fill="auto"/>
            <w:noWrap/>
            <w:vAlign w:val="center"/>
            <w:hideMark/>
          </w:tcPr>
          <w:p w14:paraId="4EE39B9D" w14:textId="77777777" w:rsidR="00227AE1" w:rsidRPr="00087F48" w:rsidRDefault="00227AE1" w:rsidP="00227AE1">
            <w:pPr>
              <w:tabs>
                <w:tab w:val="clear" w:pos="851"/>
              </w:tabs>
              <w:spacing w:before="0" w:after="0" w:line="240" w:lineRule="auto"/>
              <w:jc w:val="right"/>
              <w:rPr>
                <w:rFonts w:ascii="Arial" w:hAnsi="Arial" w:cs="Arial"/>
                <w:color w:val="auto"/>
                <w:sz w:val="16"/>
                <w:szCs w:val="20"/>
                <w:lang w:eastAsia="pt-BR"/>
              </w:rPr>
            </w:pPr>
          </w:p>
        </w:tc>
      </w:tr>
      <w:tr w:rsidR="00227AE1" w:rsidRPr="00393495" w14:paraId="4814AC9A" w14:textId="77777777" w:rsidTr="00052435">
        <w:trPr>
          <w:trHeight w:val="238"/>
        </w:trPr>
        <w:tc>
          <w:tcPr>
            <w:tcW w:w="2506" w:type="pct"/>
            <w:tcBorders>
              <w:top w:val="nil"/>
              <w:left w:val="nil"/>
              <w:bottom w:val="nil"/>
              <w:right w:val="nil"/>
            </w:tcBorders>
            <w:shd w:val="clear" w:color="auto" w:fill="auto"/>
            <w:noWrap/>
            <w:vAlign w:val="center"/>
            <w:hideMark/>
          </w:tcPr>
          <w:p w14:paraId="7ED13EA3" w14:textId="77777777"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t>Multas sobre Contas a Receber – Contratos (</w:t>
            </w:r>
            <w:proofErr w:type="spellStart"/>
            <w:r w:rsidRPr="00087F48">
              <w:rPr>
                <w:rFonts w:ascii="Arial" w:hAnsi="Arial" w:cs="Arial"/>
                <w:color w:val="000000"/>
                <w:sz w:val="16"/>
                <w:szCs w:val="17"/>
                <w:lang w:eastAsia="pt-BR"/>
              </w:rPr>
              <w:t>iv</w:t>
            </w:r>
            <w:proofErr w:type="spellEnd"/>
            <w:r w:rsidRPr="00087F48">
              <w:rPr>
                <w:rFonts w:ascii="Arial" w:hAnsi="Arial" w:cs="Arial"/>
                <w:color w:val="000000"/>
                <w:sz w:val="16"/>
                <w:szCs w:val="17"/>
                <w:lang w:eastAsia="pt-BR"/>
              </w:rPr>
              <w:t>)</w:t>
            </w:r>
          </w:p>
        </w:tc>
        <w:tc>
          <w:tcPr>
            <w:tcW w:w="504" w:type="pct"/>
            <w:tcBorders>
              <w:top w:val="nil"/>
              <w:left w:val="nil"/>
              <w:bottom w:val="nil"/>
              <w:right w:val="nil"/>
            </w:tcBorders>
            <w:shd w:val="clear" w:color="auto" w:fill="auto"/>
            <w:noWrap/>
            <w:vAlign w:val="center"/>
            <w:hideMark/>
          </w:tcPr>
          <w:p w14:paraId="3C5CE1F6"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(40.034)</w:t>
            </w:r>
          </w:p>
        </w:tc>
        <w:tc>
          <w:tcPr>
            <w:tcW w:w="504" w:type="pct"/>
            <w:tcBorders>
              <w:top w:val="nil"/>
              <w:left w:val="nil"/>
              <w:bottom w:val="nil"/>
              <w:right w:val="nil"/>
            </w:tcBorders>
            <w:shd w:val="clear" w:color="auto" w:fill="auto"/>
            <w:noWrap/>
            <w:vAlign w:val="center"/>
            <w:hideMark/>
          </w:tcPr>
          <w:p w14:paraId="52555FD3"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    </w:t>
            </w:r>
          </w:p>
        </w:tc>
        <w:tc>
          <w:tcPr>
            <w:tcW w:w="504" w:type="pct"/>
            <w:tcBorders>
              <w:top w:val="nil"/>
              <w:left w:val="nil"/>
              <w:bottom w:val="nil"/>
              <w:right w:val="nil"/>
            </w:tcBorders>
            <w:shd w:val="clear" w:color="auto" w:fill="auto"/>
            <w:noWrap/>
            <w:vAlign w:val="center"/>
            <w:hideMark/>
          </w:tcPr>
          <w:p w14:paraId="304A0A1B"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   </w:t>
            </w:r>
          </w:p>
        </w:tc>
        <w:tc>
          <w:tcPr>
            <w:tcW w:w="492" w:type="pct"/>
            <w:tcBorders>
              <w:top w:val="nil"/>
              <w:left w:val="nil"/>
              <w:bottom w:val="nil"/>
              <w:right w:val="nil"/>
            </w:tcBorders>
            <w:shd w:val="clear" w:color="auto" w:fill="auto"/>
            <w:noWrap/>
            <w:vAlign w:val="center"/>
            <w:hideMark/>
          </w:tcPr>
          <w:p w14:paraId="2372693B"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p>
        </w:tc>
        <w:tc>
          <w:tcPr>
            <w:tcW w:w="492" w:type="pct"/>
            <w:tcBorders>
              <w:top w:val="nil"/>
              <w:left w:val="nil"/>
              <w:bottom w:val="nil"/>
              <w:right w:val="nil"/>
            </w:tcBorders>
            <w:shd w:val="clear" w:color="auto" w:fill="auto"/>
            <w:noWrap/>
            <w:vAlign w:val="center"/>
            <w:hideMark/>
          </w:tcPr>
          <w:p w14:paraId="773BB17B" w14:textId="77777777" w:rsidR="00227AE1" w:rsidRPr="00087F48" w:rsidRDefault="00227AE1" w:rsidP="00227AE1">
            <w:pPr>
              <w:tabs>
                <w:tab w:val="clear" w:pos="851"/>
              </w:tabs>
              <w:spacing w:before="0" w:after="0" w:line="240" w:lineRule="auto"/>
              <w:jc w:val="right"/>
              <w:rPr>
                <w:rFonts w:ascii="Arial" w:hAnsi="Arial" w:cs="Arial"/>
                <w:color w:val="auto"/>
                <w:sz w:val="16"/>
                <w:szCs w:val="20"/>
                <w:lang w:eastAsia="pt-BR"/>
              </w:rPr>
            </w:pPr>
          </w:p>
        </w:tc>
      </w:tr>
      <w:tr w:rsidR="00227AE1" w:rsidRPr="00393495" w14:paraId="2401E826" w14:textId="77777777" w:rsidTr="00052435">
        <w:trPr>
          <w:trHeight w:val="238"/>
        </w:trPr>
        <w:tc>
          <w:tcPr>
            <w:tcW w:w="2506" w:type="pct"/>
            <w:tcBorders>
              <w:top w:val="nil"/>
              <w:left w:val="nil"/>
              <w:bottom w:val="nil"/>
              <w:right w:val="nil"/>
            </w:tcBorders>
            <w:shd w:val="clear" w:color="auto" w:fill="auto"/>
            <w:noWrap/>
            <w:vAlign w:val="center"/>
            <w:hideMark/>
          </w:tcPr>
          <w:p w14:paraId="5C2E5F98" w14:textId="77777777"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t>Tributos (v)</w:t>
            </w:r>
          </w:p>
        </w:tc>
        <w:tc>
          <w:tcPr>
            <w:tcW w:w="504" w:type="pct"/>
            <w:tcBorders>
              <w:top w:val="nil"/>
              <w:left w:val="nil"/>
              <w:bottom w:val="nil"/>
              <w:right w:val="nil"/>
            </w:tcBorders>
            <w:shd w:val="clear" w:color="auto" w:fill="auto"/>
            <w:noWrap/>
            <w:vAlign w:val="center"/>
            <w:hideMark/>
          </w:tcPr>
          <w:p w14:paraId="7A162747"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(10.835)</w:t>
            </w:r>
          </w:p>
        </w:tc>
        <w:tc>
          <w:tcPr>
            <w:tcW w:w="504" w:type="pct"/>
            <w:tcBorders>
              <w:top w:val="nil"/>
              <w:left w:val="nil"/>
              <w:bottom w:val="nil"/>
              <w:right w:val="nil"/>
            </w:tcBorders>
            <w:shd w:val="clear" w:color="auto" w:fill="auto"/>
            <w:noWrap/>
            <w:vAlign w:val="center"/>
            <w:hideMark/>
          </w:tcPr>
          <w:p w14:paraId="3EEDBF8F"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(5.397)</w:t>
            </w:r>
          </w:p>
        </w:tc>
        <w:tc>
          <w:tcPr>
            <w:tcW w:w="504" w:type="pct"/>
            <w:tcBorders>
              <w:top w:val="nil"/>
              <w:left w:val="nil"/>
              <w:bottom w:val="nil"/>
              <w:right w:val="nil"/>
            </w:tcBorders>
            <w:shd w:val="clear" w:color="auto" w:fill="auto"/>
            <w:noWrap/>
            <w:vAlign w:val="center"/>
            <w:hideMark/>
          </w:tcPr>
          <w:p w14:paraId="41DAB906"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(15.533)</w:t>
            </w:r>
          </w:p>
        </w:tc>
        <w:tc>
          <w:tcPr>
            <w:tcW w:w="492" w:type="pct"/>
            <w:tcBorders>
              <w:top w:val="nil"/>
              <w:left w:val="nil"/>
              <w:bottom w:val="nil"/>
              <w:right w:val="nil"/>
            </w:tcBorders>
            <w:shd w:val="clear" w:color="auto" w:fill="auto"/>
            <w:noWrap/>
            <w:vAlign w:val="center"/>
            <w:hideMark/>
          </w:tcPr>
          <w:p w14:paraId="7EF9007B"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100,8%</w:t>
            </w:r>
          </w:p>
        </w:tc>
        <w:tc>
          <w:tcPr>
            <w:tcW w:w="492" w:type="pct"/>
            <w:tcBorders>
              <w:top w:val="nil"/>
              <w:left w:val="nil"/>
              <w:bottom w:val="nil"/>
              <w:right w:val="nil"/>
            </w:tcBorders>
            <w:shd w:val="clear" w:color="auto" w:fill="auto"/>
            <w:noWrap/>
            <w:vAlign w:val="center"/>
            <w:hideMark/>
          </w:tcPr>
          <w:p w14:paraId="31945EB4"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-30,2%</w:t>
            </w:r>
          </w:p>
        </w:tc>
      </w:tr>
      <w:tr w:rsidR="00227AE1" w:rsidRPr="00393495" w14:paraId="2A79F96D" w14:textId="77777777" w:rsidTr="00052435">
        <w:trPr>
          <w:trHeight w:val="238"/>
        </w:trPr>
        <w:tc>
          <w:tcPr>
            <w:tcW w:w="2506" w:type="pct"/>
            <w:tcBorders>
              <w:top w:val="nil"/>
              <w:left w:val="nil"/>
              <w:bottom w:val="nil"/>
              <w:right w:val="nil"/>
            </w:tcBorders>
            <w:shd w:val="clear" w:color="auto" w:fill="auto"/>
            <w:noWrap/>
            <w:vAlign w:val="center"/>
            <w:hideMark/>
          </w:tcPr>
          <w:p w14:paraId="7833BB97" w14:textId="77777777"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lastRenderedPageBreak/>
              <w:t xml:space="preserve">Provisão p/ Riscos Trabalhistas, Cíveis, </w:t>
            </w:r>
            <w:proofErr w:type="gramStart"/>
            <w:r w:rsidRPr="00087F48">
              <w:rPr>
                <w:rFonts w:ascii="Arial" w:hAnsi="Arial" w:cs="Arial"/>
                <w:color w:val="000000"/>
                <w:sz w:val="16"/>
                <w:szCs w:val="17"/>
                <w:lang w:eastAsia="pt-BR"/>
              </w:rPr>
              <w:t>Fiscais</w:t>
            </w:r>
            <w:proofErr w:type="gramEnd"/>
          </w:p>
        </w:tc>
        <w:tc>
          <w:tcPr>
            <w:tcW w:w="504" w:type="pct"/>
            <w:tcBorders>
              <w:top w:val="nil"/>
              <w:left w:val="nil"/>
              <w:bottom w:val="nil"/>
              <w:right w:val="nil"/>
            </w:tcBorders>
            <w:shd w:val="clear" w:color="auto" w:fill="auto"/>
            <w:noWrap/>
            <w:vAlign w:val="center"/>
            <w:hideMark/>
          </w:tcPr>
          <w:p w14:paraId="73B07C20"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(962)</w:t>
            </w:r>
          </w:p>
        </w:tc>
        <w:tc>
          <w:tcPr>
            <w:tcW w:w="504" w:type="pct"/>
            <w:tcBorders>
              <w:top w:val="nil"/>
              <w:left w:val="nil"/>
              <w:bottom w:val="nil"/>
              <w:right w:val="nil"/>
            </w:tcBorders>
            <w:shd w:val="clear" w:color="auto" w:fill="auto"/>
            <w:noWrap/>
            <w:vAlign w:val="center"/>
            <w:hideMark/>
          </w:tcPr>
          <w:p w14:paraId="5496C399"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(5.189)</w:t>
            </w:r>
          </w:p>
        </w:tc>
        <w:tc>
          <w:tcPr>
            <w:tcW w:w="504" w:type="pct"/>
            <w:tcBorders>
              <w:top w:val="nil"/>
              <w:left w:val="nil"/>
              <w:bottom w:val="nil"/>
              <w:right w:val="nil"/>
            </w:tcBorders>
            <w:shd w:val="clear" w:color="auto" w:fill="auto"/>
            <w:noWrap/>
            <w:vAlign w:val="center"/>
            <w:hideMark/>
          </w:tcPr>
          <w:p w14:paraId="36DA94AE"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(1.801)</w:t>
            </w:r>
          </w:p>
        </w:tc>
        <w:tc>
          <w:tcPr>
            <w:tcW w:w="492" w:type="pct"/>
            <w:tcBorders>
              <w:top w:val="nil"/>
              <w:left w:val="nil"/>
              <w:bottom w:val="nil"/>
              <w:right w:val="nil"/>
            </w:tcBorders>
            <w:shd w:val="clear" w:color="auto" w:fill="auto"/>
            <w:noWrap/>
            <w:vAlign w:val="center"/>
            <w:hideMark/>
          </w:tcPr>
          <w:p w14:paraId="7A86B7B7"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-81,5%</w:t>
            </w:r>
          </w:p>
        </w:tc>
        <w:tc>
          <w:tcPr>
            <w:tcW w:w="492" w:type="pct"/>
            <w:tcBorders>
              <w:top w:val="nil"/>
              <w:left w:val="nil"/>
              <w:bottom w:val="nil"/>
              <w:right w:val="nil"/>
            </w:tcBorders>
            <w:shd w:val="clear" w:color="auto" w:fill="auto"/>
            <w:noWrap/>
            <w:vAlign w:val="center"/>
            <w:hideMark/>
          </w:tcPr>
          <w:p w14:paraId="1D42E5E3"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-46,6%</w:t>
            </w:r>
          </w:p>
        </w:tc>
      </w:tr>
      <w:tr w:rsidR="00227AE1" w:rsidRPr="00393495" w14:paraId="07CB4356" w14:textId="77777777" w:rsidTr="00052435">
        <w:trPr>
          <w:trHeight w:val="238"/>
        </w:trPr>
        <w:tc>
          <w:tcPr>
            <w:tcW w:w="2506" w:type="pct"/>
            <w:tcBorders>
              <w:top w:val="nil"/>
              <w:left w:val="nil"/>
              <w:bottom w:val="nil"/>
              <w:right w:val="nil"/>
            </w:tcBorders>
            <w:shd w:val="clear" w:color="auto" w:fill="auto"/>
            <w:noWrap/>
            <w:vAlign w:val="center"/>
            <w:hideMark/>
          </w:tcPr>
          <w:p w14:paraId="24629AC6" w14:textId="77777777"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t>Baixa de Ativo Imobilizado (vi)</w:t>
            </w:r>
          </w:p>
        </w:tc>
        <w:tc>
          <w:tcPr>
            <w:tcW w:w="504" w:type="pct"/>
            <w:tcBorders>
              <w:top w:val="nil"/>
              <w:left w:val="nil"/>
              <w:bottom w:val="nil"/>
              <w:right w:val="nil"/>
            </w:tcBorders>
            <w:shd w:val="clear" w:color="auto" w:fill="auto"/>
            <w:noWrap/>
            <w:vAlign w:val="center"/>
            <w:hideMark/>
          </w:tcPr>
          <w:p w14:paraId="75D85F0A"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(383)</w:t>
            </w:r>
          </w:p>
        </w:tc>
        <w:tc>
          <w:tcPr>
            <w:tcW w:w="504" w:type="pct"/>
            <w:tcBorders>
              <w:top w:val="nil"/>
              <w:left w:val="nil"/>
              <w:bottom w:val="nil"/>
              <w:right w:val="nil"/>
            </w:tcBorders>
            <w:shd w:val="clear" w:color="auto" w:fill="auto"/>
            <w:noWrap/>
            <w:vAlign w:val="center"/>
            <w:hideMark/>
          </w:tcPr>
          <w:p w14:paraId="08C2FCEB"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(16.643)</w:t>
            </w:r>
          </w:p>
        </w:tc>
        <w:tc>
          <w:tcPr>
            <w:tcW w:w="504" w:type="pct"/>
            <w:tcBorders>
              <w:top w:val="nil"/>
              <w:left w:val="nil"/>
              <w:bottom w:val="nil"/>
              <w:right w:val="nil"/>
            </w:tcBorders>
            <w:shd w:val="clear" w:color="auto" w:fill="auto"/>
            <w:noWrap/>
            <w:vAlign w:val="center"/>
            <w:hideMark/>
          </w:tcPr>
          <w:p w14:paraId="3B6D87A2"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    </w:t>
            </w:r>
          </w:p>
        </w:tc>
        <w:tc>
          <w:tcPr>
            <w:tcW w:w="492" w:type="pct"/>
            <w:tcBorders>
              <w:top w:val="nil"/>
              <w:left w:val="nil"/>
              <w:bottom w:val="nil"/>
              <w:right w:val="nil"/>
            </w:tcBorders>
            <w:shd w:val="clear" w:color="auto" w:fill="auto"/>
            <w:noWrap/>
            <w:vAlign w:val="center"/>
            <w:hideMark/>
          </w:tcPr>
          <w:p w14:paraId="73F91788"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-97,7%</w:t>
            </w:r>
          </w:p>
        </w:tc>
        <w:tc>
          <w:tcPr>
            <w:tcW w:w="492" w:type="pct"/>
            <w:tcBorders>
              <w:top w:val="nil"/>
              <w:left w:val="nil"/>
              <w:bottom w:val="nil"/>
              <w:right w:val="nil"/>
            </w:tcBorders>
            <w:shd w:val="clear" w:color="auto" w:fill="auto"/>
            <w:noWrap/>
            <w:vAlign w:val="center"/>
            <w:hideMark/>
          </w:tcPr>
          <w:p w14:paraId="3608B9C3"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100,0%</w:t>
            </w:r>
          </w:p>
        </w:tc>
      </w:tr>
      <w:tr w:rsidR="00227AE1" w:rsidRPr="00393495" w14:paraId="72C7338B" w14:textId="77777777" w:rsidTr="00052435">
        <w:trPr>
          <w:trHeight w:val="238"/>
        </w:trPr>
        <w:tc>
          <w:tcPr>
            <w:tcW w:w="2506" w:type="pct"/>
            <w:tcBorders>
              <w:top w:val="nil"/>
              <w:left w:val="nil"/>
              <w:bottom w:val="nil"/>
              <w:right w:val="nil"/>
            </w:tcBorders>
            <w:shd w:val="clear" w:color="auto" w:fill="auto"/>
            <w:noWrap/>
            <w:vAlign w:val="center"/>
            <w:hideMark/>
          </w:tcPr>
          <w:p w14:paraId="1BE2F763" w14:textId="77777777"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t xml:space="preserve">Outras Despesas Operacionais </w:t>
            </w:r>
          </w:p>
        </w:tc>
        <w:tc>
          <w:tcPr>
            <w:tcW w:w="504" w:type="pct"/>
            <w:tcBorders>
              <w:top w:val="nil"/>
              <w:left w:val="nil"/>
              <w:bottom w:val="nil"/>
              <w:right w:val="nil"/>
            </w:tcBorders>
            <w:shd w:val="clear" w:color="auto" w:fill="auto"/>
            <w:noWrap/>
            <w:vAlign w:val="center"/>
            <w:hideMark/>
          </w:tcPr>
          <w:p w14:paraId="6D394CD5"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(3.445)</w:t>
            </w:r>
          </w:p>
        </w:tc>
        <w:tc>
          <w:tcPr>
            <w:tcW w:w="504" w:type="pct"/>
            <w:tcBorders>
              <w:top w:val="nil"/>
              <w:left w:val="nil"/>
              <w:bottom w:val="nil"/>
              <w:right w:val="nil"/>
            </w:tcBorders>
            <w:shd w:val="clear" w:color="auto" w:fill="auto"/>
            <w:noWrap/>
            <w:vAlign w:val="center"/>
            <w:hideMark/>
          </w:tcPr>
          <w:p w14:paraId="4A45663D"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(1.833)</w:t>
            </w:r>
          </w:p>
        </w:tc>
        <w:tc>
          <w:tcPr>
            <w:tcW w:w="504" w:type="pct"/>
            <w:tcBorders>
              <w:top w:val="nil"/>
              <w:left w:val="nil"/>
              <w:bottom w:val="nil"/>
              <w:right w:val="nil"/>
            </w:tcBorders>
            <w:shd w:val="clear" w:color="auto" w:fill="auto"/>
            <w:noWrap/>
            <w:vAlign w:val="center"/>
            <w:hideMark/>
          </w:tcPr>
          <w:p w14:paraId="63700A80"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(3.458)</w:t>
            </w:r>
          </w:p>
        </w:tc>
        <w:tc>
          <w:tcPr>
            <w:tcW w:w="492" w:type="pct"/>
            <w:tcBorders>
              <w:top w:val="nil"/>
              <w:left w:val="nil"/>
              <w:bottom w:val="nil"/>
              <w:right w:val="nil"/>
            </w:tcBorders>
            <w:shd w:val="clear" w:color="auto" w:fill="auto"/>
            <w:noWrap/>
            <w:vAlign w:val="center"/>
            <w:hideMark/>
          </w:tcPr>
          <w:p w14:paraId="5C4FB042"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87,9%</w:t>
            </w:r>
          </w:p>
        </w:tc>
        <w:tc>
          <w:tcPr>
            <w:tcW w:w="492" w:type="pct"/>
            <w:tcBorders>
              <w:top w:val="nil"/>
              <w:left w:val="nil"/>
              <w:bottom w:val="nil"/>
              <w:right w:val="nil"/>
            </w:tcBorders>
            <w:shd w:val="clear" w:color="auto" w:fill="auto"/>
            <w:noWrap/>
            <w:vAlign w:val="center"/>
            <w:hideMark/>
          </w:tcPr>
          <w:p w14:paraId="7829B30F"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-0,4%</w:t>
            </w:r>
          </w:p>
        </w:tc>
      </w:tr>
      <w:tr w:rsidR="00227AE1" w:rsidRPr="00393495" w14:paraId="595F859E" w14:textId="77777777" w:rsidTr="00052435">
        <w:trPr>
          <w:trHeight w:val="238"/>
        </w:trPr>
        <w:tc>
          <w:tcPr>
            <w:tcW w:w="2506" w:type="pct"/>
            <w:tcBorders>
              <w:top w:val="single" w:sz="8" w:space="0" w:color="9BC2E6"/>
              <w:left w:val="nil"/>
              <w:bottom w:val="single" w:sz="8" w:space="0" w:color="9BC2E6"/>
              <w:right w:val="nil"/>
            </w:tcBorders>
            <w:shd w:val="clear" w:color="auto" w:fill="auto"/>
            <w:noWrap/>
            <w:vAlign w:val="center"/>
            <w:hideMark/>
          </w:tcPr>
          <w:p w14:paraId="5F114751"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8"/>
                <w:lang w:eastAsia="pt-BR"/>
              </w:rPr>
            </w:pPr>
            <w:r w:rsidRPr="00087F48">
              <w:rPr>
                <w:rFonts w:ascii="Arial" w:hAnsi="Arial" w:cs="Arial"/>
                <w:b/>
                <w:bCs/>
                <w:color w:val="000000"/>
                <w:sz w:val="16"/>
                <w:szCs w:val="18"/>
                <w:lang w:eastAsia="pt-BR"/>
              </w:rPr>
              <w:t>Total</w:t>
            </w:r>
          </w:p>
        </w:tc>
        <w:tc>
          <w:tcPr>
            <w:tcW w:w="504" w:type="pct"/>
            <w:tcBorders>
              <w:top w:val="single" w:sz="8" w:space="0" w:color="9BC2E6"/>
              <w:left w:val="nil"/>
              <w:bottom w:val="single" w:sz="8" w:space="0" w:color="9BC2E6"/>
              <w:right w:val="nil"/>
            </w:tcBorders>
            <w:shd w:val="clear" w:color="auto" w:fill="auto"/>
            <w:noWrap/>
            <w:vAlign w:val="center"/>
            <w:hideMark/>
          </w:tcPr>
          <w:p w14:paraId="34E9D6F4"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(55.659)</w:t>
            </w:r>
          </w:p>
        </w:tc>
        <w:tc>
          <w:tcPr>
            <w:tcW w:w="504" w:type="pct"/>
            <w:tcBorders>
              <w:top w:val="single" w:sz="8" w:space="0" w:color="9BC2E6"/>
              <w:left w:val="nil"/>
              <w:bottom w:val="single" w:sz="8" w:space="0" w:color="9BC2E6"/>
              <w:right w:val="nil"/>
            </w:tcBorders>
            <w:shd w:val="clear" w:color="auto" w:fill="auto"/>
            <w:noWrap/>
            <w:vAlign w:val="center"/>
            <w:hideMark/>
          </w:tcPr>
          <w:p w14:paraId="09E81108"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(29.062)</w:t>
            </w:r>
          </w:p>
        </w:tc>
        <w:tc>
          <w:tcPr>
            <w:tcW w:w="504" w:type="pct"/>
            <w:tcBorders>
              <w:top w:val="single" w:sz="8" w:space="0" w:color="9BC2E6"/>
              <w:left w:val="nil"/>
              <w:bottom w:val="single" w:sz="8" w:space="0" w:color="9BC2E6"/>
              <w:right w:val="nil"/>
            </w:tcBorders>
            <w:shd w:val="clear" w:color="auto" w:fill="auto"/>
            <w:noWrap/>
            <w:vAlign w:val="center"/>
            <w:hideMark/>
          </w:tcPr>
          <w:p w14:paraId="26E210D6"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(20.792)</w:t>
            </w:r>
          </w:p>
        </w:tc>
        <w:tc>
          <w:tcPr>
            <w:tcW w:w="492" w:type="pct"/>
            <w:tcBorders>
              <w:top w:val="single" w:sz="8" w:space="0" w:color="9BC2E6"/>
              <w:left w:val="nil"/>
              <w:bottom w:val="single" w:sz="8" w:space="0" w:color="9BC2E6"/>
              <w:right w:val="nil"/>
            </w:tcBorders>
            <w:shd w:val="clear" w:color="auto" w:fill="auto"/>
            <w:noWrap/>
            <w:vAlign w:val="center"/>
            <w:hideMark/>
          </w:tcPr>
          <w:p w14:paraId="49ACACAC"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91,5%</w:t>
            </w:r>
          </w:p>
        </w:tc>
        <w:tc>
          <w:tcPr>
            <w:tcW w:w="492" w:type="pct"/>
            <w:tcBorders>
              <w:top w:val="single" w:sz="8" w:space="0" w:color="9BC2E6"/>
              <w:left w:val="nil"/>
              <w:bottom w:val="single" w:sz="8" w:space="0" w:color="9BC2E6"/>
              <w:right w:val="nil"/>
            </w:tcBorders>
            <w:shd w:val="clear" w:color="auto" w:fill="auto"/>
            <w:noWrap/>
            <w:vAlign w:val="center"/>
            <w:hideMark/>
          </w:tcPr>
          <w:p w14:paraId="00690E8A"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167,7%</w:t>
            </w:r>
          </w:p>
        </w:tc>
      </w:tr>
      <w:tr w:rsidR="00227AE1" w:rsidRPr="00393495" w14:paraId="6C635396" w14:textId="77777777" w:rsidTr="00052435">
        <w:trPr>
          <w:trHeight w:val="238"/>
        </w:trPr>
        <w:tc>
          <w:tcPr>
            <w:tcW w:w="2506" w:type="pct"/>
            <w:tcBorders>
              <w:top w:val="nil"/>
              <w:left w:val="nil"/>
              <w:bottom w:val="single" w:sz="8" w:space="0" w:color="9BC2E6"/>
              <w:right w:val="nil"/>
            </w:tcBorders>
            <w:shd w:val="clear" w:color="auto" w:fill="auto"/>
            <w:noWrap/>
            <w:vAlign w:val="center"/>
            <w:hideMark/>
          </w:tcPr>
          <w:p w14:paraId="4095F529"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Outras Receitas/Despesas Operacionais, </w:t>
            </w:r>
            <w:proofErr w:type="gramStart"/>
            <w:r w:rsidRPr="00087F48">
              <w:rPr>
                <w:rFonts w:ascii="Arial" w:hAnsi="Arial" w:cs="Arial"/>
                <w:b/>
                <w:bCs/>
                <w:color w:val="000000"/>
                <w:sz w:val="16"/>
                <w:szCs w:val="18"/>
                <w:lang w:eastAsia="pt-BR"/>
              </w:rPr>
              <w:t>Líquida</w:t>
            </w:r>
            <w:proofErr w:type="gramEnd"/>
          </w:p>
        </w:tc>
        <w:tc>
          <w:tcPr>
            <w:tcW w:w="504" w:type="pct"/>
            <w:tcBorders>
              <w:top w:val="nil"/>
              <w:left w:val="nil"/>
              <w:bottom w:val="single" w:sz="8" w:space="0" w:color="9BC2E6"/>
              <w:right w:val="nil"/>
            </w:tcBorders>
            <w:shd w:val="clear" w:color="auto" w:fill="auto"/>
            <w:noWrap/>
            <w:vAlign w:val="center"/>
            <w:hideMark/>
          </w:tcPr>
          <w:p w14:paraId="53EB0A4C"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241.213 </w:t>
            </w:r>
          </w:p>
        </w:tc>
        <w:tc>
          <w:tcPr>
            <w:tcW w:w="504" w:type="pct"/>
            <w:tcBorders>
              <w:top w:val="nil"/>
              <w:left w:val="nil"/>
              <w:bottom w:val="single" w:sz="8" w:space="0" w:color="9BC2E6"/>
              <w:right w:val="nil"/>
            </w:tcBorders>
            <w:shd w:val="clear" w:color="auto" w:fill="auto"/>
            <w:noWrap/>
            <w:vAlign w:val="center"/>
            <w:hideMark/>
          </w:tcPr>
          <w:p w14:paraId="7AF6EEBB"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226.393 </w:t>
            </w:r>
          </w:p>
        </w:tc>
        <w:tc>
          <w:tcPr>
            <w:tcW w:w="504" w:type="pct"/>
            <w:tcBorders>
              <w:top w:val="nil"/>
              <w:left w:val="nil"/>
              <w:bottom w:val="single" w:sz="8" w:space="0" w:color="9BC2E6"/>
              <w:right w:val="nil"/>
            </w:tcBorders>
            <w:shd w:val="clear" w:color="auto" w:fill="auto"/>
            <w:noWrap/>
            <w:vAlign w:val="center"/>
            <w:hideMark/>
          </w:tcPr>
          <w:p w14:paraId="6E317610"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 xml:space="preserve"> 222.271 </w:t>
            </w:r>
          </w:p>
        </w:tc>
        <w:tc>
          <w:tcPr>
            <w:tcW w:w="492" w:type="pct"/>
            <w:tcBorders>
              <w:top w:val="nil"/>
              <w:left w:val="nil"/>
              <w:bottom w:val="single" w:sz="8" w:space="0" w:color="9BC2E6"/>
              <w:right w:val="nil"/>
            </w:tcBorders>
            <w:shd w:val="clear" w:color="auto" w:fill="auto"/>
            <w:noWrap/>
            <w:vAlign w:val="center"/>
            <w:hideMark/>
          </w:tcPr>
          <w:p w14:paraId="7A8B4702"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6,5%</w:t>
            </w:r>
          </w:p>
        </w:tc>
        <w:tc>
          <w:tcPr>
            <w:tcW w:w="492" w:type="pct"/>
            <w:tcBorders>
              <w:top w:val="nil"/>
              <w:left w:val="nil"/>
              <w:bottom w:val="single" w:sz="8" w:space="0" w:color="9BC2E6"/>
              <w:right w:val="nil"/>
            </w:tcBorders>
            <w:shd w:val="clear" w:color="auto" w:fill="auto"/>
            <w:noWrap/>
            <w:vAlign w:val="center"/>
            <w:hideMark/>
          </w:tcPr>
          <w:p w14:paraId="4C301A07"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8"/>
                <w:lang w:eastAsia="pt-BR"/>
              </w:rPr>
            </w:pPr>
            <w:r w:rsidRPr="00087F48">
              <w:rPr>
                <w:rFonts w:ascii="Arial" w:hAnsi="Arial" w:cs="Arial"/>
                <w:b/>
                <w:bCs/>
                <w:color w:val="000000"/>
                <w:sz w:val="16"/>
                <w:szCs w:val="18"/>
                <w:lang w:eastAsia="pt-BR"/>
              </w:rPr>
              <w:t>8,5%</w:t>
            </w:r>
          </w:p>
        </w:tc>
      </w:tr>
    </w:tbl>
    <w:p w14:paraId="35F8D5DF" w14:textId="320A619E" w:rsidR="003E0246" w:rsidRPr="00087F48" w:rsidRDefault="003E0246" w:rsidP="00087F48">
      <w:pPr>
        <w:spacing w:line="240" w:lineRule="auto"/>
        <w:rPr>
          <w:rFonts w:eastAsia="Calibri"/>
          <w:sz w:val="22"/>
        </w:rPr>
      </w:pPr>
      <w:r w:rsidRPr="00087F48">
        <w:rPr>
          <w:rFonts w:eastAsia="Calibri"/>
          <w:sz w:val="22"/>
        </w:rPr>
        <w:t>No ano de 2023, o resultado da rubrica de Outras Receitas Operacionais deduzidas de Outras Despesas Operacionais foi positivo no montante de R$ 241,2 milhões (R$ 226,4 milhões em 2022 e R$ 222,3 milhões em 2021), aumento de 6,5% e 8,5% em relação aos exercícios de 2022 e 2021, respectivamente. As principais variações oco</w:t>
      </w:r>
      <w:r w:rsidR="00227AE1" w:rsidRPr="00087F48">
        <w:rPr>
          <w:rFonts w:eastAsia="Calibri"/>
          <w:sz w:val="22"/>
        </w:rPr>
        <w:t xml:space="preserve">rreram nas seguintes rubricas: </w:t>
      </w:r>
    </w:p>
    <w:p w14:paraId="58F0F6A9" w14:textId="255E51E1" w:rsidR="003E0246" w:rsidRPr="003E0246" w:rsidRDefault="003E0246" w:rsidP="00087F48">
      <w:pPr>
        <w:spacing w:before="120" w:line="240" w:lineRule="auto"/>
        <w:rPr>
          <w:rFonts w:eastAsia="Arial"/>
          <w:sz w:val="22"/>
        </w:rPr>
      </w:pPr>
      <w:r w:rsidRPr="003E0246">
        <w:rPr>
          <w:rFonts w:eastAsia="Arial"/>
          <w:b/>
          <w:sz w:val="22"/>
        </w:rPr>
        <w:t>i) Subvenções Orçamentárias Recebidas:</w:t>
      </w:r>
      <w:r w:rsidRPr="003E0246">
        <w:rPr>
          <w:rFonts w:eastAsia="Arial"/>
          <w:sz w:val="22"/>
        </w:rPr>
        <w:t xml:space="preserve">  A partir de 1 de janeiro de 2020, a Telebras passou a ser classificada como uma Empresa Estatal Dependente, e, dessa forma, passou a receber recursos orçamentários para o pagamento dos gastos com pessoal, outros custeios e investimentos. Os recursos recebidos para pagamento de pessoal e outros custeios são reconhecidos no resultado da Companhia com base no CPC 07 – Subvenções e Assistência Governamentais, os recursos de investimento são contabilizados no passivo exigível (não circulante) como Adiantamento para Futuro Aumento de Capital (AFAC). Em 2023, a Telebras reconheceu o montante de R$ 240,2 milhões no resultado da Companhia (R$ 241,5 milhõe</w:t>
      </w:r>
      <w:r w:rsidR="00227AE1">
        <w:rPr>
          <w:rFonts w:eastAsia="Arial"/>
          <w:sz w:val="22"/>
        </w:rPr>
        <w:t xml:space="preserve">s em 2022 e R$ 216,6 em 2021). </w:t>
      </w:r>
    </w:p>
    <w:p w14:paraId="69207B11" w14:textId="464C2B23" w:rsidR="003E0246" w:rsidRPr="00087F48" w:rsidRDefault="003E0246" w:rsidP="00087F48">
      <w:pPr>
        <w:spacing w:before="120" w:line="240" w:lineRule="auto"/>
        <w:rPr>
          <w:rFonts w:eastAsia="Arial"/>
          <w:sz w:val="22"/>
        </w:rPr>
      </w:pPr>
      <w:proofErr w:type="spellStart"/>
      <w:r w:rsidRPr="003E0246">
        <w:rPr>
          <w:rFonts w:eastAsia="Arial"/>
          <w:b/>
          <w:sz w:val="22"/>
        </w:rPr>
        <w:t>ii</w:t>
      </w:r>
      <w:proofErr w:type="spellEnd"/>
      <w:r w:rsidRPr="003E0246">
        <w:rPr>
          <w:rFonts w:eastAsia="Arial"/>
          <w:b/>
          <w:sz w:val="22"/>
        </w:rPr>
        <w:t>) Superávit de Previdência Privada:</w:t>
      </w:r>
      <w:r w:rsidRPr="003E0246">
        <w:rPr>
          <w:rFonts w:eastAsia="Arial"/>
          <w:sz w:val="22"/>
        </w:rPr>
        <w:t xml:space="preserve"> Trata-se do reconhecimento do superávit relativo aos planos PBS-A e PBS-Telebras distribuídos pela Sistel no exercício de 2023 e que serão recebidos pela Telebras em 36 parcelas mensai</w:t>
      </w:r>
      <w:r w:rsidR="00227AE1">
        <w:rPr>
          <w:rFonts w:eastAsia="Arial"/>
          <w:sz w:val="22"/>
        </w:rPr>
        <w:t>s.</w:t>
      </w:r>
    </w:p>
    <w:p w14:paraId="0820D231" w14:textId="5DE01C5F" w:rsidR="003E0246" w:rsidRPr="003E0246" w:rsidRDefault="003E0246" w:rsidP="00087F48">
      <w:pPr>
        <w:spacing w:before="120" w:line="240" w:lineRule="auto"/>
        <w:rPr>
          <w:rFonts w:eastAsia="Arial"/>
          <w:sz w:val="22"/>
        </w:rPr>
      </w:pPr>
      <w:proofErr w:type="spellStart"/>
      <w:r w:rsidRPr="003E0246">
        <w:rPr>
          <w:rFonts w:eastAsia="Arial"/>
          <w:b/>
          <w:sz w:val="22"/>
        </w:rPr>
        <w:t>iii</w:t>
      </w:r>
      <w:proofErr w:type="spellEnd"/>
      <w:r w:rsidRPr="003E0246">
        <w:rPr>
          <w:rFonts w:eastAsia="Arial"/>
          <w:b/>
          <w:sz w:val="22"/>
        </w:rPr>
        <w:t>) Ganho na Baixa de Passivos:</w:t>
      </w:r>
      <w:r w:rsidRPr="003E0246">
        <w:rPr>
          <w:rFonts w:eastAsia="Arial"/>
          <w:sz w:val="22"/>
        </w:rPr>
        <w:t xml:space="preserve"> A redução dos anos de 2023 e 2022 em relação ao ano de 2021 é explicada pelo</w:t>
      </w:r>
      <w:r w:rsidR="005A4A2E">
        <w:rPr>
          <w:rFonts w:eastAsia="Arial"/>
          <w:sz w:val="22"/>
        </w:rPr>
        <w:t>s</w:t>
      </w:r>
      <w:r w:rsidRPr="003E0246">
        <w:rPr>
          <w:rFonts w:eastAsia="Arial"/>
          <w:sz w:val="22"/>
        </w:rPr>
        <w:t xml:space="preserve"> seguintes eventos ocorridos no exercício de 2021: i) baixa relativa à prescrição dos valores objeto do processo de grupamento de ações realizado no exercício de 2011, devido à prescrição do direito de os acionistas não controladores exercerem o direito de reclamar tais valores. O valor baixado foi de R$ 13,1 milhões; </w:t>
      </w:r>
      <w:proofErr w:type="spellStart"/>
      <w:r w:rsidRPr="003E0246">
        <w:rPr>
          <w:rFonts w:eastAsia="Arial"/>
          <w:sz w:val="22"/>
        </w:rPr>
        <w:t>ii</w:t>
      </w:r>
      <w:proofErr w:type="spellEnd"/>
      <w:r w:rsidRPr="003E0246">
        <w:rPr>
          <w:rFonts w:eastAsia="Arial"/>
          <w:sz w:val="22"/>
        </w:rPr>
        <w:t xml:space="preserve">) baixa de valores relativos a fornecedores em função da conciliação de valores, </w:t>
      </w:r>
      <w:proofErr w:type="spellStart"/>
      <w:r w:rsidRPr="003E0246">
        <w:rPr>
          <w:rFonts w:eastAsia="Arial"/>
          <w:sz w:val="22"/>
        </w:rPr>
        <w:t>esta</w:t>
      </w:r>
      <w:proofErr w:type="spellEnd"/>
      <w:r w:rsidRPr="003E0246">
        <w:rPr>
          <w:rFonts w:eastAsia="Arial"/>
          <w:sz w:val="22"/>
        </w:rPr>
        <w:t xml:space="preserve"> baixa foi de R$ 0,8 milhão; e </w:t>
      </w:r>
      <w:proofErr w:type="spellStart"/>
      <w:r w:rsidRPr="003E0246">
        <w:rPr>
          <w:rFonts w:eastAsia="Arial"/>
          <w:sz w:val="22"/>
        </w:rPr>
        <w:t>iii</w:t>
      </w:r>
      <w:proofErr w:type="spellEnd"/>
      <w:r w:rsidRPr="003E0246">
        <w:rPr>
          <w:rFonts w:eastAsia="Arial"/>
          <w:sz w:val="22"/>
        </w:rPr>
        <w:t>) baixa de R$ 1,3 milhão relativo a valores de passivo de tributos realizada durante o pr</w:t>
      </w:r>
      <w:r w:rsidR="00227AE1">
        <w:rPr>
          <w:rFonts w:eastAsia="Arial"/>
          <w:sz w:val="22"/>
        </w:rPr>
        <w:t>ocesso de conciliação de contas</w:t>
      </w:r>
    </w:p>
    <w:p w14:paraId="35071F85" w14:textId="250F4707" w:rsidR="003E0246" w:rsidRPr="00087F48" w:rsidRDefault="003E0246" w:rsidP="00087F48">
      <w:pPr>
        <w:spacing w:before="120" w:line="240" w:lineRule="auto"/>
        <w:rPr>
          <w:rFonts w:eastAsia="Arial"/>
          <w:sz w:val="22"/>
        </w:rPr>
      </w:pPr>
      <w:proofErr w:type="spellStart"/>
      <w:r w:rsidRPr="003E0246">
        <w:rPr>
          <w:rFonts w:eastAsia="Arial"/>
          <w:b/>
          <w:sz w:val="22"/>
        </w:rPr>
        <w:t>iv</w:t>
      </w:r>
      <w:proofErr w:type="spellEnd"/>
      <w:r w:rsidRPr="003E0246">
        <w:rPr>
          <w:rFonts w:eastAsia="Arial"/>
          <w:b/>
          <w:sz w:val="22"/>
        </w:rPr>
        <w:t>) Multas sobre Contas a Receber – Contratos:</w:t>
      </w:r>
      <w:r w:rsidRPr="003E0246">
        <w:rPr>
          <w:rFonts w:eastAsia="Arial"/>
          <w:sz w:val="22"/>
        </w:rPr>
        <w:t xml:space="preserve"> No ano de 2023, a Companhia reconheceu no resultado do período o valor relativo às multas aplicadas pela Dataprev sobre o contrato de prestação de serviços em decorrência de penalidades aplicadas na execução dos serviços. A Telebras vinha mantendo conversações com a Dataprev, no sentido de reverter tais penalidades, mas não obteve sucesso. O montante dessas</w:t>
      </w:r>
      <w:r w:rsidR="00227AE1">
        <w:rPr>
          <w:rFonts w:eastAsia="Arial"/>
          <w:sz w:val="22"/>
        </w:rPr>
        <w:t xml:space="preserve"> multas foi de R$ 39,4 milhões.</w:t>
      </w:r>
    </w:p>
    <w:p w14:paraId="56516FCB" w14:textId="094039B9" w:rsidR="003E0246" w:rsidRPr="003E0246" w:rsidRDefault="003E0246" w:rsidP="00087F48">
      <w:pPr>
        <w:spacing w:before="120" w:line="240" w:lineRule="auto"/>
        <w:rPr>
          <w:rFonts w:eastAsia="Arial"/>
          <w:sz w:val="22"/>
        </w:rPr>
      </w:pPr>
      <w:r w:rsidRPr="003E0246">
        <w:rPr>
          <w:rFonts w:eastAsia="Arial"/>
          <w:b/>
          <w:sz w:val="22"/>
        </w:rPr>
        <w:t>v) Baixa de Ativos por Perdas – Tributos:</w:t>
      </w:r>
      <w:r w:rsidRPr="003E0246">
        <w:rPr>
          <w:rFonts w:eastAsia="Arial"/>
          <w:sz w:val="22"/>
        </w:rPr>
        <w:t xml:space="preserve"> Representa o valor baixado dos créditos de tributos, principalmente, o ICMS, por impos</w:t>
      </w:r>
      <w:r w:rsidR="00227AE1">
        <w:rPr>
          <w:rFonts w:eastAsia="Arial"/>
          <w:sz w:val="22"/>
        </w:rPr>
        <w:t>sibilidade de recuperabilidade.</w:t>
      </w:r>
    </w:p>
    <w:p w14:paraId="1C588007" w14:textId="1B3A189A" w:rsidR="003E0246" w:rsidRPr="003E0246" w:rsidRDefault="003E0246" w:rsidP="00087F48">
      <w:pPr>
        <w:spacing w:before="120" w:line="240" w:lineRule="auto"/>
        <w:rPr>
          <w:rFonts w:eastAsia="Arial"/>
          <w:sz w:val="22"/>
        </w:rPr>
      </w:pPr>
      <w:r w:rsidRPr="003E0246">
        <w:rPr>
          <w:rFonts w:eastAsia="Arial"/>
          <w:b/>
          <w:sz w:val="22"/>
        </w:rPr>
        <w:t>vi) Baixa de Bens do Ativo Imobilizado:</w:t>
      </w:r>
      <w:r w:rsidRPr="003E0246">
        <w:rPr>
          <w:rFonts w:eastAsia="Arial"/>
          <w:sz w:val="22"/>
        </w:rPr>
        <w:t xml:space="preserve"> </w:t>
      </w:r>
      <w:r w:rsidRPr="00087F48">
        <w:rPr>
          <w:rFonts w:eastAsia="Calibri"/>
          <w:sz w:val="22"/>
        </w:rPr>
        <w:t>A redução de 97,7% é explicada pelo maior volume de baixas realizadas no ano de 2022 devido ao resultado do inventário dos bens da Tele</w:t>
      </w:r>
      <w:r w:rsidR="00227AE1" w:rsidRPr="00087F48">
        <w:rPr>
          <w:rFonts w:eastAsia="Calibri"/>
          <w:sz w:val="22"/>
        </w:rPr>
        <w:t>bras concluído naquele período.</w:t>
      </w:r>
    </w:p>
    <w:p w14:paraId="7F2DD20D" w14:textId="77777777" w:rsidR="00247165" w:rsidRDefault="00247165">
      <w:pPr>
        <w:tabs>
          <w:tab w:val="clear" w:pos="851"/>
        </w:tabs>
        <w:spacing w:before="0" w:after="0" w:line="240" w:lineRule="auto"/>
        <w:jc w:val="left"/>
        <w:rPr>
          <w:rFonts w:cs="Arial"/>
          <w:b/>
          <w:bCs/>
          <w:szCs w:val="26"/>
        </w:rPr>
      </w:pPr>
      <w:bookmarkStart w:id="18" w:name="_Toc161319438"/>
      <w:r>
        <w:br w:type="page"/>
      </w:r>
    </w:p>
    <w:p w14:paraId="0A345527" w14:textId="4B25AB6A" w:rsidR="003E0246" w:rsidRPr="00087F48" w:rsidRDefault="003E0246" w:rsidP="00087F48">
      <w:pPr>
        <w:pStyle w:val="Ttulo3"/>
        <w:ind w:left="709" w:hanging="709"/>
        <w:rPr>
          <w:b w:val="0"/>
        </w:rPr>
      </w:pPr>
      <w:r w:rsidRPr="00087F48">
        <w:lastRenderedPageBreak/>
        <w:t>Resultado Financeiro</w:t>
      </w:r>
      <w:bookmarkEnd w:id="18"/>
      <w:r w:rsidRPr="00087F48">
        <w:t xml:space="preserve"> </w:t>
      </w:r>
    </w:p>
    <w:tbl>
      <w:tblPr>
        <w:tblW w:w="5000" w:type="pct"/>
        <w:tblCellMar>
          <w:left w:w="70" w:type="dxa"/>
          <w:right w:w="70" w:type="dxa"/>
        </w:tblCellMar>
        <w:tblLook w:val="04A0" w:firstRow="1" w:lastRow="0" w:firstColumn="1" w:lastColumn="0" w:noHBand="0" w:noVBand="1"/>
      </w:tblPr>
      <w:tblGrid>
        <w:gridCol w:w="4587"/>
        <w:gridCol w:w="909"/>
        <w:gridCol w:w="909"/>
        <w:gridCol w:w="909"/>
        <w:gridCol w:w="879"/>
        <w:gridCol w:w="879"/>
      </w:tblGrid>
      <w:tr w:rsidR="00227AE1" w:rsidRPr="00393495" w14:paraId="04E3D3B9" w14:textId="77777777" w:rsidTr="00052435">
        <w:trPr>
          <w:trHeight w:val="238"/>
        </w:trPr>
        <w:tc>
          <w:tcPr>
            <w:tcW w:w="2499" w:type="pct"/>
            <w:tcBorders>
              <w:top w:val="single" w:sz="8" w:space="0" w:color="8EA9DB"/>
              <w:left w:val="nil"/>
              <w:bottom w:val="single" w:sz="8" w:space="0" w:color="8EA9DB"/>
              <w:right w:val="nil"/>
            </w:tcBorders>
            <w:shd w:val="clear" w:color="auto" w:fill="auto"/>
            <w:noWrap/>
            <w:vAlign w:val="center"/>
            <w:hideMark/>
          </w:tcPr>
          <w:p w14:paraId="10CE6A86" w14:textId="77777777" w:rsidR="00227AE1" w:rsidRPr="00087F48" w:rsidRDefault="00227AE1" w:rsidP="00227AE1">
            <w:pPr>
              <w:tabs>
                <w:tab w:val="clear" w:pos="851"/>
              </w:tabs>
              <w:spacing w:before="0" w:after="0" w:line="240" w:lineRule="auto"/>
              <w:jc w:val="left"/>
              <w:rPr>
                <w:rFonts w:ascii="Arial" w:hAnsi="Arial" w:cs="Arial"/>
                <w:b/>
                <w:bCs/>
                <w:color w:val="2F75B5"/>
                <w:sz w:val="16"/>
                <w:szCs w:val="18"/>
                <w:lang w:eastAsia="pt-BR"/>
              </w:rPr>
            </w:pPr>
            <w:r w:rsidRPr="00087F48">
              <w:rPr>
                <w:rFonts w:ascii="Arial" w:hAnsi="Arial" w:cs="Arial"/>
                <w:b/>
                <w:bCs/>
                <w:color w:val="2F75B5"/>
                <w:sz w:val="16"/>
                <w:szCs w:val="18"/>
                <w:lang w:eastAsia="pt-BR"/>
              </w:rPr>
              <w:t>R$ mil</w:t>
            </w:r>
          </w:p>
        </w:tc>
        <w:tc>
          <w:tcPr>
            <w:tcW w:w="507" w:type="pct"/>
            <w:tcBorders>
              <w:top w:val="single" w:sz="8" w:space="0" w:color="8EA9DB"/>
              <w:left w:val="nil"/>
              <w:bottom w:val="single" w:sz="8" w:space="0" w:color="8EA9DB"/>
              <w:right w:val="nil"/>
            </w:tcBorders>
            <w:shd w:val="clear" w:color="000000" w:fill="FFFFFF"/>
            <w:noWrap/>
            <w:vAlign w:val="center"/>
            <w:hideMark/>
          </w:tcPr>
          <w:p w14:paraId="59D95B76"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2023</w:t>
            </w:r>
          </w:p>
        </w:tc>
        <w:tc>
          <w:tcPr>
            <w:tcW w:w="507" w:type="pct"/>
            <w:tcBorders>
              <w:top w:val="single" w:sz="8" w:space="0" w:color="8EA9DB"/>
              <w:left w:val="nil"/>
              <w:bottom w:val="single" w:sz="8" w:space="0" w:color="8EA9DB"/>
              <w:right w:val="nil"/>
            </w:tcBorders>
            <w:shd w:val="clear" w:color="000000" w:fill="FFFFFF"/>
            <w:noWrap/>
            <w:vAlign w:val="center"/>
            <w:hideMark/>
          </w:tcPr>
          <w:p w14:paraId="0296B455"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2022</w:t>
            </w:r>
          </w:p>
        </w:tc>
        <w:tc>
          <w:tcPr>
            <w:tcW w:w="507" w:type="pct"/>
            <w:tcBorders>
              <w:top w:val="single" w:sz="8" w:space="0" w:color="8EA9DB"/>
              <w:left w:val="nil"/>
              <w:bottom w:val="single" w:sz="8" w:space="0" w:color="8EA9DB"/>
              <w:right w:val="nil"/>
            </w:tcBorders>
            <w:shd w:val="clear" w:color="000000" w:fill="FFFFFF"/>
            <w:noWrap/>
            <w:vAlign w:val="center"/>
            <w:hideMark/>
          </w:tcPr>
          <w:p w14:paraId="6A90DB05"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2021</w:t>
            </w:r>
          </w:p>
        </w:tc>
        <w:tc>
          <w:tcPr>
            <w:tcW w:w="490" w:type="pct"/>
            <w:tcBorders>
              <w:top w:val="single" w:sz="8" w:space="0" w:color="8EA9DB"/>
              <w:left w:val="nil"/>
              <w:bottom w:val="single" w:sz="8" w:space="0" w:color="8EA9DB"/>
              <w:right w:val="nil"/>
            </w:tcBorders>
            <w:shd w:val="clear" w:color="000000" w:fill="FFFFFF"/>
            <w:vAlign w:val="center"/>
            <w:hideMark/>
          </w:tcPr>
          <w:p w14:paraId="522F4D39"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2022</w:t>
            </w:r>
          </w:p>
        </w:tc>
        <w:tc>
          <w:tcPr>
            <w:tcW w:w="490" w:type="pct"/>
            <w:tcBorders>
              <w:top w:val="single" w:sz="8" w:space="0" w:color="8EA9DB"/>
              <w:left w:val="nil"/>
              <w:bottom w:val="single" w:sz="8" w:space="0" w:color="8EA9DB"/>
              <w:right w:val="nil"/>
            </w:tcBorders>
            <w:shd w:val="clear" w:color="000000" w:fill="FFFFFF"/>
            <w:vAlign w:val="center"/>
            <w:hideMark/>
          </w:tcPr>
          <w:p w14:paraId="7BB25E97" w14:textId="77777777" w:rsidR="00227AE1" w:rsidRPr="00087F48" w:rsidRDefault="00227AE1" w:rsidP="00227AE1">
            <w:pPr>
              <w:tabs>
                <w:tab w:val="clear" w:pos="851"/>
              </w:tabs>
              <w:spacing w:before="0" w:after="0" w:line="240" w:lineRule="auto"/>
              <w:jc w:val="center"/>
              <w:rPr>
                <w:rFonts w:ascii="Arial" w:hAnsi="Arial" w:cs="Arial"/>
                <w:b/>
                <w:bCs/>
                <w:color w:val="2F75B5"/>
                <w:sz w:val="16"/>
                <w:szCs w:val="18"/>
                <w:lang w:eastAsia="pt-BR"/>
              </w:rPr>
            </w:pPr>
            <w:r w:rsidRPr="00087F48">
              <w:rPr>
                <w:rFonts w:ascii="Arial" w:hAnsi="Arial" w:cs="Arial"/>
                <w:b/>
                <w:bCs/>
                <w:color w:val="2F75B5"/>
                <w:sz w:val="16"/>
                <w:szCs w:val="18"/>
                <w:lang w:eastAsia="pt-BR"/>
              </w:rPr>
              <w:t>Δ 2023 X 2021</w:t>
            </w:r>
          </w:p>
        </w:tc>
      </w:tr>
      <w:tr w:rsidR="00227AE1" w:rsidRPr="00393495" w14:paraId="0A329AD9" w14:textId="77777777" w:rsidTr="00052435">
        <w:trPr>
          <w:trHeight w:val="238"/>
        </w:trPr>
        <w:tc>
          <w:tcPr>
            <w:tcW w:w="2499" w:type="pct"/>
            <w:tcBorders>
              <w:top w:val="nil"/>
              <w:left w:val="nil"/>
              <w:bottom w:val="nil"/>
              <w:right w:val="nil"/>
            </w:tcBorders>
            <w:shd w:val="clear" w:color="auto" w:fill="auto"/>
            <w:noWrap/>
            <w:vAlign w:val="center"/>
            <w:hideMark/>
          </w:tcPr>
          <w:p w14:paraId="333E2644"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7"/>
                <w:lang w:eastAsia="pt-BR"/>
              </w:rPr>
            </w:pPr>
            <w:r w:rsidRPr="00087F48">
              <w:rPr>
                <w:rFonts w:ascii="Arial" w:hAnsi="Arial" w:cs="Arial"/>
                <w:b/>
                <w:bCs/>
                <w:color w:val="000000"/>
                <w:sz w:val="16"/>
                <w:szCs w:val="17"/>
                <w:lang w:eastAsia="pt-BR"/>
              </w:rPr>
              <w:t>Receitas Financeiras</w:t>
            </w:r>
          </w:p>
        </w:tc>
        <w:tc>
          <w:tcPr>
            <w:tcW w:w="507" w:type="pct"/>
            <w:tcBorders>
              <w:top w:val="nil"/>
              <w:left w:val="nil"/>
              <w:bottom w:val="nil"/>
              <w:right w:val="nil"/>
            </w:tcBorders>
            <w:shd w:val="clear" w:color="auto" w:fill="auto"/>
            <w:noWrap/>
            <w:vAlign w:val="center"/>
            <w:hideMark/>
          </w:tcPr>
          <w:p w14:paraId="724ED22C"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7"/>
                <w:lang w:eastAsia="pt-BR"/>
              </w:rPr>
            </w:pPr>
          </w:p>
        </w:tc>
        <w:tc>
          <w:tcPr>
            <w:tcW w:w="507" w:type="pct"/>
            <w:tcBorders>
              <w:top w:val="nil"/>
              <w:left w:val="nil"/>
              <w:bottom w:val="nil"/>
              <w:right w:val="nil"/>
            </w:tcBorders>
            <w:shd w:val="clear" w:color="auto" w:fill="auto"/>
            <w:noWrap/>
            <w:vAlign w:val="center"/>
            <w:hideMark/>
          </w:tcPr>
          <w:p w14:paraId="54E1C929" w14:textId="77777777" w:rsidR="00227AE1" w:rsidRPr="00087F48" w:rsidRDefault="00227AE1" w:rsidP="00227AE1">
            <w:pPr>
              <w:tabs>
                <w:tab w:val="clear" w:pos="851"/>
              </w:tabs>
              <w:spacing w:before="0" w:after="0" w:line="240" w:lineRule="auto"/>
              <w:jc w:val="left"/>
              <w:rPr>
                <w:rFonts w:ascii="Arial" w:hAnsi="Arial" w:cs="Arial"/>
                <w:color w:val="auto"/>
                <w:sz w:val="16"/>
                <w:szCs w:val="20"/>
                <w:lang w:eastAsia="pt-BR"/>
              </w:rPr>
            </w:pPr>
          </w:p>
        </w:tc>
        <w:tc>
          <w:tcPr>
            <w:tcW w:w="507" w:type="pct"/>
            <w:tcBorders>
              <w:top w:val="nil"/>
              <w:left w:val="nil"/>
              <w:bottom w:val="nil"/>
              <w:right w:val="nil"/>
            </w:tcBorders>
            <w:shd w:val="clear" w:color="auto" w:fill="auto"/>
            <w:noWrap/>
            <w:vAlign w:val="center"/>
            <w:hideMark/>
          </w:tcPr>
          <w:p w14:paraId="74EF0860" w14:textId="77777777" w:rsidR="00227AE1" w:rsidRPr="00087F48" w:rsidRDefault="00227AE1" w:rsidP="00227AE1">
            <w:pPr>
              <w:tabs>
                <w:tab w:val="clear" w:pos="851"/>
              </w:tabs>
              <w:spacing w:before="0" w:after="0" w:line="240" w:lineRule="auto"/>
              <w:jc w:val="left"/>
              <w:rPr>
                <w:rFonts w:ascii="Arial" w:hAnsi="Arial" w:cs="Arial"/>
                <w:color w:val="auto"/>
                <w:sz w:val="16"/>
                <w:szCs w:val="20"/>
                <w:lang w:eastAsia="pt-BR"/>
              </w:rPr>
            </w:pPr>
          </w:p>
        </w:tc>
        <w:tc>
          <w:tcPr>
            <w:tcW w:w="490" w:type="pct"/>
            <w:tcBorders>
              <w:top w:val="nil"/>
              <w:left w:val="nil"/>
              <w:bottom w:val="nil"/>
              <w:right w:val="nil"/>
            </w:tcBorders>
            <w:shd w:val="clear" w:color="auto" w:fill="auto"/>
            <w:vAlign w:val="center"/>
            <w:hideMark/>
          </w:tcPr>
          <w:p w14:paraId="11214CF4"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7"/>
                <w:lang w:eastAsia="pt-BR"/>
              </w:rPr>
            </w:pPr>
            <w:r w:rsidRPr="00087F48">
              <w:rPr>
                <w:rFonts w:ascii="Arial" w:hAnsi="Arial" w:cs="Arial"/>
                <w:b/>
                <w:bCs/>
                <w:color w:val="000000"/>
                <w:sz w:val="16"/>
                <w:szCs w:val="17"/>
                <w:lang w:eastAsia="pt-BR"/>
              </w:rPr>
              <w:t xml:space="preserve"> </w:t>
            </w:r>
          </w:p>
        </w:tc>
        <w:tc>
          <w:tcPr>
            <w:tcW w:w="490" w:type="pct"/>
            <w:tcBorders>
              <w:top w:val="nil"/>
              <w:left w:val="nil"/>
              <w:bottom w:val="nil"/>
              <w:right w:val="nil"/>
            </w:tcBorders>
            <w:shd w:val="clear" w:color="auto" w:fill="auto"/>
            <w:vAlign w:val="center"/>
            <w:hideMark/>
          </w:tcPr>
          <w:p w14:paraId="4591ECB4"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7"/>
                <w:lang w:eastAsia="pt-BR"/>
              </w:rPr>
            </w:pPr>
            <w:r w:rsidRPr="00087F48">
              <w:rPr>
                <w:rFonts w:ascii="Arial" w:hAnsi="Arial" w:cs="Arial"/>
                <w:b/>
                <w:bCs/>
                <w:color w:val="000000"/>
                <w:sz w:val="16"/>
                <w:szCs w:val="17"/>
                <w:lang w:eastAsia="pt-BR"/>
              </w:rPr>
              <w:t xml:space="preserve"> </w:t>
            </w:r>
          </w:p>
        </w:tc>
      </w:tr>
      <w:tr w:rsidR="00227AE1" w:rsidRPr="00393495" w14:paraId="50932587" w14:textId="77777777" w:rsidTr="00052435">
        <w:trPr>
          <w:trHeight w:val="238"/>
        </w:trPr>
        <w:tc>
          <w:tcPr>
            <w:tcW w:w="2499" w:type="pct"/>
            <w:tcBorders>
              <w:top w:val="nil"/>
              <w:left w:val="nil"/>
              <w:bottom w:val="nil"/>
              <w:right w:val="nil"/>
            </w:tcBorders>
            <w:shd w:val="clear" w:color="auto" w:fill="auto"/>
            <w:noWrap/>
            <w:vAlign w:val="center"/>
            <w:hideMark/>
          </w:tcPr>
          <w:p w14:paraId="526B280F" w14:textId="77777777"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t>Juros sobre Aplicação Financeira (i)</w:t>
            </w:r>
          </w:p>
        </w:tc>
        <w:tc>
          <w:tcPr>
            <w:tcW w:w="507" w:type="pct"/>
            <w:tcBorders>
              <w:top w:val="nil"/>
              <w:left w:val="nil"/>
              <w:bottom w:val="nil"/>
              <w:right w:val="nil"/>
            </w:tcBorders>
            <w:shd w:val="clear" w:color="auto" w:fill="auto"/>
            <w:noWrap/>
            <w:vAlign w:val="center"/>
            <w:hideMark/>
          </w:tcPr>
          <w:p w14:paraId="73ECAE3F"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155.382 </w:t>
            </w:r>
          </w:p>
        </w:tc>
        <w:tc>
          <w:tcPr>
            <w:tcW w:w="507" w:type="pct"/>
            <w:tcBorders>
              <w:top w:val="nil"/>
              <w:left w:val="nil"/>
              <w:bottom w:val="nil"/>
              <w:right w:val="nil"/>
            </w:tcBorders>
            <w:shd w:val="clear" w:color="auto" w:fill="auto"/>
            <w:noWrap/>
            <w:vAlign w:val="center"/>
            <w:hideMark/>
          </w:tcPr>
          <w:p w14:paraId="59E5AF2E"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108.348 </w:t>
            </w:r>
          </w:p>
        </w:tc>
        <w:tc>
          <w:tcPr>
            <w:tcW w:w="507" w:type="pct"/>
            <w:tcBorders>
              <w:top w:val="nil"/>
              <w:left w:val="nil"/>
              <w:bottom w:val="nil"/>
              <w:right w:val="nil"/>
            </w:tcBorders>
            <w:shd w:val="clear" w:color="auto" w:fill="auto"/>
            <w:noWrap/>
            <w:vAlign w:val="center"/>
            <w:hideMark/>
          </w:tcPr>
          <w:p w14:paraId="5B7E6122"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24.877 </w:t>
            </w:r>
          </w:p>
        </w:tc>
        <w:tc>
          <w:tcPr>
            <w:tcW w:w="490" w:type="pct"/>
            <w:tcBorders>
              <w:top w:val="nil"/>
              <w:left w:val="nil"/>
              <w:bottom w:val="nil"/>
              <w:right w:val="nil"/>
            </w:tcBorders>
            <w:shd w:val="clear" w:color="auto" w:fill="auto"/>
            <w:noWrap/>
            <w:vAlign w:val="center"/>
            <w:hideMark/>
          </w:tcPr>
          <w:p w14:paraId="1A6144FF"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43,4%</w:t>
            </w:r>
          </w:p>
        </w:tc>
        <w:tc>
          <w:tcPr>
            <w:tcW w:w="490" w:type="pct"/>
            <w:tcBorders>
              <w:top w:val="nil"/>
              <w:left w:val="nil"/>
              <w:bottom w:val="nil"/>
              <w:right w:val="nil"/>
            </w:tcBorders>
            <w:shd w:val="clear" w:color="auto" w:fill="auto"/>
            <w:noWrap/>
            <w:vAlign w:val="center"/>
            <w:hideMark/>
          </w:tcPr>
          <w:p w14:paraId="20A0B6D7"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524,6%</w:t>
            </w:r>
          </w:p>
        </w:tc>
      </w:tr>
      <w:tr w:rsidR="00227AE1" w:rsidRPr="00393495" w14:paraId="5B4BE5F2" w14:textId="77777777" w:rsidTr="00052435">
        <w:trPr>
          <w:trHeight w:val="238"/>
        </w:trPr>
        <w:tc>
          <w:tcPr>
            <w:tcW w:w="2499" w:type="pct"/>
            <w:tcBorders>
              <w:top w:val="nil"/>
              <w:left w:val="nil"/>
              <w:bottom w:val="nil"/>
              <w:right w:val="nil"/>
            </w:tcBorders>
            <w:shd w:val="clear" w:color="auto" w:fill="auto"/>
            <w:noWrap/>
            <w:vAlign w:val="center"/>
            <w:hideMark/>
          </w:tcPr>
          <w:p w14:paraId="38139A90" w14:textId="77777777"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t>Juros sobre Tributos</w:t>
            </w:r>
          </w:p>
        </w:tc>
        <w:tc>
          <w:tcPr>
            <w:tcW w:w="507" w:type="pct"/>
            <w:tcBorders>
              <w:top w:val="nil"/>
              <w:left w:val="nil"/>
              <w:bottom w:val="nil"/>
              <w:right w:val="nil"/>
            </w:tcBorders>
            <w:shd w:val="clear" w:color="auto" w:fill="auto"/>
            <w:noWrap/>
            <w:vAlign w:val="center"/>
            <w:hideMark/>
          </w:tcPr>
          <w:p w14:paraId="631D5D14"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12.221 </w:t>
            </w:r>
          </w:p>
        </w:tc>
        <w:tc>
          <w:tcPr>
            <w:tcW w:w="507" w:type="pct"/>
            <w:tcBorders>
              <w:top w:val="nil"/>
              <w:left w:val="nil"/>
              <w:bottom w:val="nil"/>
              <w:right w:val="nil"/>
            </w:tcBorders>
            <w:shd w:val="clear" w:color="auto" w:fill="auto"/>
            <w:noWrap/>
            <w:vAlign w:val="center"/>
            <w:hideMark/>
          </w:tcPr>
          <w:p w14:paraId="7888AF24"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8.743 </w:t>
            </w:r>
          </w:p>
        </w:tc>
        <w:tc>
          <w:tcPr>
            <w:tcW w:w="507" w:type="pct"/>
            <w:tcBorders>
              <w:top w:val="nil"/>
              <w:left w:val="nil"/>
              <w:bottom w:val="nil"/>
              <w:right w:val="nil"/>
            </w:tcBorders>
            <w:shd w:val="clear" w:color="auto" w:fill="auto"/>
            <w:noWrap/>
            <w:vAlign w:val="center"/>
            <w:hideMark/>
          </w:tcPr>
          <w:p w14:paraId="2EB3E0FB"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6.460 </w:t>
            </w:r>
          </w:p>
        </w:tc>
        <w:tc>
          <w:tcPr>
            <w:tcW w:w="490" w:type="pct"/>
            <w:tcBorders>
              <w:top w:val="nil"/>
              <w:left w:val="nil"/>
              <w:bottom w:val="nil"/>
              <w:right w:val="nil"/>
            </w:tcBorders>
            <w:shd w:val="clear" w:color="auto" w:fill="auto"/>
            <w:noWrap/>
            <w:vAlign w:val="center"/>
            <w:hideMark/>
          </w:tcPr>
          <w:p w14:paraId="45CABC0C"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39,8%</w:t>
            </w:r>
          </w:p>
        </w:tc>
        <w:tc>
          <w:tcPr>
            <w:tcW w:w="490" w:type="pct"/>
            <w:tcBorders>
              <w:top w:val="nil"/>
              <w:left w:val="nil"/>
              <w:bottom w:val="nil"/>
              <w:right w:val="nil"/>
            </w:tcBorders>
            <w:shd w:val="clear" w:color="auto" w:fill="auto"/>
            <w:noWrap/>
            <w:vAlign w:val="center"/>
            <w:hideMark/>
          </w:tcPr>
          <w:p w14:paraId="0D9D016A"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89,2%</w:t>
            </w:r>
          </w:p>
        </w:tc>
      </w:tr>
      <w:tr w:rsidR="00227AE1" w:rsidRPr="00393495" w14:paraId="1C7F5776" w14:textId="77777777" w:rsidTr="00052435">
        <w:trPr>
          <w:trHeight w:val="238"/>
        </w:trPr>
        <w:tc>
          <w:tcPr>
            <w:tcW w:w="2499" w:type="pct"/>
            <w:tcBorders>
              <w:top w:val="nil"/>
              <w:left w:val="nil"/>
              <w:bottom w:val="nil"/>
              <w:right w:val="nil"/>
            </w:tcBorders>
            <w:shd w:val="clear" w:color="auto" w:fill="auto"/>
            <w:noWrap/>
            <w:vAlign w:val="center"/>
            <w:hideMark/>
          </w:tcPr>
          <w:p w14:paraId="09C155BA" w14:textId="77777777"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t>Juros sobre Depósitos Judiciais</w:t>
            </w:r>
          </w:p>
        </w:tc>
        <w:tc>
          <w:tcPr>
            <w:tcW w:w="507" w:type="pct"/>
            <w:tcBorders>
              <w:top w:val="nil"/>
              <w:left w:val="nil"/>
              <w:bottom w:val="nil"/>
              <w:right w:val="nil"/>
            </w:tcBorders>
            <w:shd w:val="clear" w:color="auto" w:fill="auto"/>
            <w:noWrap/>
            <w:vAlign w:val="center"/>
            <w:hideMark/>
          </w:tcPr>
          <w:p w14:paraId="590267C2"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4.142 </w:t>
            </w:r>
          </w:p>
        </w:tc>
        <w:tc>
          <w:tcPr>
            <w:tcW w:w="507" w:type="pct"/>
            <w:tcBorders>
              <w:top w:val="nil"/>
              <w:left w:val="nil"/>
              <w:bottom w:val="nil"/>
              <w:right w:val="nil"/>
            </w:tcBorders>
            <w:shd w:val="clear" w:color="auto" w:fill="auto"/>
            <w:noWrap/>
            <w:vAlign w:val="center"/>
            <w:hideMark/>
          </w:tcPr>
          <w:p w14:paraId="4C53573D"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3.467 </w:t>
            </w:r>
          </w:p>
        </w:tc>
        <w:tc>
          <w:tcPr>
            <w:tcW w:w="507" w:type="pct"/>
            <w:tcBorders>
              <w:top w:val="nil"/>
              <w:left w:val="nil"/>
              <w:bottom w:val="nil"/>
              <w:right w:val="nil"/>
            </w:tcBorders>
            <w:shd w:val="clear" w:color="auto" w:fill="auto"/>
            <w:noWrap/>
            <w:vAlign w:val="center"/>
            <w:hideMark/>
          </w:tcPr>
          <w:p w14:paraId="3446B03A"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2.616 </w:t>
            </w:r>
          </w:p>
        </w:tc>
        <w:tc>
          <w:tcPr>
            <w:tcW w:w="490" w:type="pct"/>
            <w:tcBorders>
              <w:top w:val="nil"/>
              <w:left w:val="nil"/>
              <w:bottom w:val="nil"/>
              <w:right w:val="nil"/>
            </w:tcBorders>
            <w:shd w:val="clear" w:color="auto" w:fill="auto"/>
            <w:noWrap/>
            <w:vAlign w:val="center"/>
            <w:hideMark/>
          </w:tcPr>
          <w:p w14:paraId="16E37E95"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19,5%</w:t>
            </w:r>
          </w:p>
        </w:tc>
        <w:tc>
          <w:tcPr>
            <w:tcW w:w="490" w:type="pct"/>
            <w:tcBorders>
              <w:top w:val="nil"/>
              <w:left w:val="nil"/>
              <w:bottom w:val="nil"/>
              <w:right w:val="nil"/>
            </w:tcBorders>
            <w:shd w:val="clear" w:color="auto" w:fill="auto"/>
            <w:noWrap/>
            <w:vAlign w:val="center"/>
            <w:hideMark/>
          </w:tcPr>
          <w:p w14:paraId="307BE7FB"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58,3%</w:t>
            </w:r>
          </w:p>
        </w:tc>
      </w:tr>
      <w:tr w:rsidR="00227AE1" w:rsidRPr="00393495" w14:paraId="2100D3BE" w14:textId="77777777" w:rsidTr="00052435">
        <w:trPr>
          <w:trHeight w:val="238"/>
        </w:trPr>
        <w:tc>
          <w:tcPr>
            <w:tcW w:w="2499" w:type="pct"/>
            <w:tcBorders>
              <w:top w:val="nil"/>
              <w:left w:val="nil"/>
              <w:bottom w:val="nil"/>
              <w:right w:val="nil"/>
            </w:tcBorders>
            <w:shd w:val="clear" w:color="auto" w:fill="auto"/>
            <w:noWrap/>
            <w:vAlign w:val="center"/>
            <w:hideMark/>
          </w:tcPr>
          <w:p w14:paraId="5C4B0416" w14:textId="73CF23D9"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t xml:space="preserve">Juros sobre </w:t>
            </w:r>
            <w:r w:rsidR="005A4A2E" w:rsidRPr="00087F48">
              <w:rPr>
                <w:rFonts w:ascii="Arial" w:hAnsi="Arial" w:cs="Arial"/>
                <w:color w:val="000000"/>
                <w:sz w:val="16"/>
                <w:szCs w:val="17"/>
                <w:lang w:eastAsia="pt-BR"/>
              </w:rPr>
              <w:t>Superávit</w:t>
            </w:r>
            <w:r w:rsidRPr="00087F48">
              <w:rPr>
                <w:rFonts w:ascii="Arial" w:hAnsi="Arial" w:cs="Arial"/>
                <w:color w:val="000000"/>
                <w:sz w:val="16"/>
                <w:szCs w:val="17"/>
                <w:lang w:eastAsia="pt-BR"/>
              </w:rPr>
              <w:t xml:space="preserve"> Previdência Privada (</w:t>
            </w:r>
            <w:proofErr w:type="spellStart"/>
            <w:r w:rsidRPr="00087F48">
              <w:rPr>
                <w:rFonts w:ascii="Arial" w:hAnsi="Arial" w:cs="Arial"/>
                <w:color w:val="000000"/>
                <w:sz w:val="16"/>
                <w:szCs w:val="17"/>
                <w:lang w:eastAsia="pt-BR"/>
              </w:rPr>
              <w:t>ii</w:t>
            </w:r>
            <w:proofErr w:type="spellEnd"/>
            <w:r w:rsidRPr="00087F48">
              <w:rPr>
                <w:rFonts w:ascii="Arial" w:hAnsi="Arial" w:cs="Arial"/>
                <w:color w:val="000000"/>
                <w:sz w:val="16"/>
                <w:szCs w:val="17"/>
                <w:lang w:eastAsia="pt-BR"/>
              </w:rPr>
              <w:t>)</w:t>
            </w:r>
          </w:p>
        </w:tc>
        <w:tc>
          <w:tcPr>
            <w:tcW w:w="507" w:type="pct"/>
            <w:tcBorders>
              <w:top w:val="nil"/>
              <w:left w:val="nil"/>
              <w:bottom w:val="nil"/>
              <w:right w:val="nil"/>
            </w:tcBorders>
            <w:shd w:val="clear" w:color="auto" w:fill="auto"/>
            <w:noWrap/>
            <w:vAlign w:val="center"/>
            <w:hideMark/>
          </w:tcPr>
          <w:p w14:paraId="44E89F00"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1.439 </w:t>
            </w:r>
          </w:p>
        </w:tc>
        <w:tc>
          <w:tcPr>
            <w:tcW w:w="507" w:type="pct"/>
            <w:tcBorders>
              <w:top w:val="nil"/>
              <w:left w:val="nil"/>
              <w:bottom w:val="nil"/>
              <w:right w:val="nil"/>
            </w:tcBorders>
            <w:shd w:val="clear" w:color="auto" w:fill="auto"/>
            <w:noWrap/>
            <w:vAlign w:val="center"/>
            <w:hideMark/>
          </w:tcPr>
          <w:p w14:paraId="2B28A921"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4.132 </w:t>
            </w:r>
          </w:p>
        </w:tc>
        <w:tc>
          <w:tcPr>
            <w:tcW w:w="507" w:type="pct"/>
            <w:tcBorders>
              <w:top w:val="nil"/>
              <w:left w:val="nil"/>
              <w:bottom w:val="nil"/>
              <w:right w:val="nil"/>
            </w:tcBorders>
            <w:shd w:val="clear" w:color="auto" w:fill="auto"/>
            <w:noWrap/>
            <w:vAlign w:val="center"/>
            <w:hideMark/>
          </w:tcPr>
          <w:p w14:paraId="51ED2091"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17.374 </w:t>
            </w:r>
          </w:p>
        </w:tc>
        <w:tc>
          <w:tcPr>
            <w:tcW w:w="490" w:type="pct"/>
            <w:tcBorders>
              <w:top w:val="nil"/>
              <w:left w:val="nil"/>
              <w:bottom w:val="nil"/>
              <w:right w:val="nil"/>
            </w:tcBorders>
            <w:shd w:val="clear" w:color="auto" w:fill="auto"/>
            <w:noWrap/>
            <w:vAlign w:val="center"/>
            <w:hideMark/>
          </w:tcPr>
          <w:p w14:paraId="110742C1"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-65,2%</w:t>
            </w:r>
          </w:p>
        </w:tc>
        <w:tc>
          <w:tcPr>
            <w:tcW w:w="490" w:type="pct"/>
            <w:tcBorders>
              <w:top w:val="nil"/>
              <w:left w:val="nil"/>
              <w:bottom w:val="nil"/>
              <w:right w:val="nil"/>
            </w:tcBorders>
            <w:shd w:val="clear" w:color="auto" w:fill="auto"/>
            <w:noWrap/>
            <w:vAlign w:val="center"/>
            <w:hideMark/>
          </w:tcPr>
          <w:p w14:paraId="5E98A50D"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-91,7%</w:t>
            </w:r>
          </w:p>
        </w:tc>
      </w:tr>
      <w:tr w:rsidR="00227AE1" w:rsidRPr="00393495" w14:paraId="6B9F3275" w14:textId="77777777" w:rsidTr="00052435">
        <w:trPr>
          <w:trHeight w:val="238"/>
        </w:trPr>
        <w:tc>
          <w:tcPr>
            <w:tcW w:w="2499" w:type="pct"/>
            <w:tcBorders>
              <w:top w:val="nil"/>
              <w:left w:val="nil"/>
              <w:bottom w:val="nil"/>
              <w:right w:val="nil"/>
            </w:tcBorders>
            <w:shd w:val="clear" w:color="auto" w:fill="auto"/>
            <w:noWrap/>
            <w:vAlign w:val="center"/>
            <w:hideMark/>
          </w:tcPr>
          <w:p w14:paraId="37C7E8B4" w14:textId="77777777"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t>Outras Receitas</w:t>
            </w:r>
          </w:p>
        </w:tc>
        <w:tc>
          <w:tcPr>
            <w:tcW w:w="507" w:type="pct"/>
            <w:tcBorders>
              <w:top w:val="nil"/>
              <w:left w:val="nil"/>
              <w:bottom w:val="nil"/>
              <w:right w:val="nil"/>
            </w:tcBorders>
            <w:shd w:val="clear" w:color="auto" w:fill="auto"/>
            <w:noWrap/>
            <w:vAlign w:val="center"/>
            <w:hideMark/>
          </w:tcPr>
          <w:p w14:paraId="0B372293"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294 </w:t>
            </w:r>
          </w:p>
        </w:tc>
        <w:tc>
          <w:tcPr>
            <w:tcW w:w="507" w:type="pct"/>
            <w:tcBorders>
              <w:top w:val="nil"/>
              <w:left w:val="nil"/>
              <w:bottom w:val="nil"/>
              <w:right w:val="nil"/>
            </w:tcBorders>
            <w:shd w:val="clear" w:color="auto" w:fill="auto"/>
            <w:noWrap/>
            <w:vAlign w:val="center"/>
            <w:hideMark/>
          </w:tcPr>
          <w:p w14:paraId="5D362B6E"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349 </w:t>
            </w:r>
          </w:p>
        </w:tc>
        <w:tc>
          <w:tcPr>
            <w:tcW w:w="507" w:type="pct"/>
            <w:tcBorders>
              <w:top w:val="nil"/>
              <w:left w:val="nil"/>
              <w:bottom w:val="nil"/>
              <w:right w:val="nil"/>
            </w:tcBorders>
            <w:shd w:val="clear" w:color="auto" w:fill="auto"/>
            <w:noWrap/>
            <w:vAlign w:val="center"/>
            <w:hideMark/>
          </w:tcPr>
          <w:p w14:paraId="022D067D"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720 </w:t>
            </w:r>
          </w:p>
        </w:tc>
        <w:tc>
          <w:tcPr>
            <w:tcW w:w="490" w:type="pct"/>
            <w:tcBorders>
              <w:top w:val="nil"/>
              <w:left w:val="nil"/>
              <w:bottom w:val="nil"/>
              <w:right w:val="nil"/>
            </w:tcBorders>
            <w:shd w:val="clear" w:color="auto" w:fill="auto"/>
            <w:noWrap/>
            <w:vAlign w:val="center"/>
            <w:hideMark/>
          </w:tcPr>
          <w:p w14:paraId="145E8FA0"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-15,8%</w:t>
            </w:r>
          </w:p>
        </w:tc>
        <w:tc>
          <w:tcPr>
            <w:tcW w:w="490" w:type="pct"/>
            <w:tcBorders>
              <w:top w:val="nil"/>
              <w:left w:val="nil"/>
              <w:bottom w:val="nil"/>
              <w:right w:val="nil"/>
            </w:tcBorders>
            <w:shd w:val="clear" w:color="auto" w:fill="auto"/>
            <w:noWrap/>
            <w:vAlign w:val="center"/>
            <w:hideMark/>
          </w:tcPr>
          <w:p w14:paraId="0AB8B909"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-59,2%</w:t>
            </w:r>
          </w:p>
        </w:tc>
      </w:tr>
      <w:tr w:rsidR="00227AE1" w:rsidRPr="00393495" w14:paraId="0A193CA7" w14:textId="77777777" w:rsidTr="00052435">
        <w:trPr>
          <w:trHeight w:val="238"/>
        </w:trPr>
        <w:tc>
          <w:tcPr>
            <w:tcW w:w="2499" w:type="pct"/>
            <w:tcBorders>
              <w:top w:val="nil"/>
              <w:left w:val="nil"/>
              <w:bottom w:val="nil"/>
              <w:right w:val="nil"/>
            </w:tcBorders>
            <w:shd w:val="clear" w:color="auto" w:fill="auto"/>
            <w:noWrap/>
            <w:vAlign w:val="center"/>
            <w:hideMark/>
          </w:tcPr>
          <w:p w14:paraId="555FA871" w14:textId="77777777"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t>Tributos sobre Receitas Financeiras</w:t>
            </w:r>
          </w:p>
        </w:tc>
        <w:tc>
          <w:tcPr>
            <w:tcW w:w="507" w:type="pct"/>
            <w:tcBorders>
              <w:top w:val="nil"/>
              <w:left w:val="nil"/>
              <w:bottom w:val="nil"/>
              <w:right w:val="nil"/>
            </w:tcBorders>
            <w:shd w:val="clear" w:color="auto" w:fill="auto"/>
            <w:noWrap/>
            <w:vAlign w:val="center"/>
            <w:hideMark/>
          </w:tcPr>
          <w:p w14:paraId="51CDCD4B"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(7.840)</w:t>
            </w:r>
          </w:p>
        </w:tc>
        <w:tc>
          <w:tcPr>
            <w:tcW w:w="507" w:type="pct"/>
            <w:tcBorders>
              <w:top w:val="nil"/>
              <w:left w:val="nil"/>
              <w:bottom w:val="nil"/>
              <w:right w:val="nil"/>
            </w:tcBorders>
            <w:shd w:val="clear" w:color="auto" w:fill="auto"/>
            <w:noWrap/>
            <w:vAlign w:val="center"/>
            <w:hideMark/>
          </w:tcPr>
          <w:p w14:paraId="5F4992B5"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(5.667)</w:t>
            </w:r>
          </w:p>
        </w:tc>
        <w:tc>
          <w:tcPr>
            <w:tcW w:w="507" w:type="pct"/>
            <w:tcBorders>
              <w:top w:val="nil"/>
              <w:left w:val="nil"/>
              <w:bottom w:val="nil"/>
              <w:right w:val="nil"/>
            </w:tcBorders>
            <w:shd w:val="clear" w:color="auto" w:fill="auto"/>
            <w:noWrap/>
            <w:vAlign w:val="center"/>
            <w:hideMark/>
          </w:tcPr>
          <w:p w14:paraId="248E0924"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(2.580)</w:t>
            </w:r>
          </w:p>
        </w:tc>
        <w:tc>
          <w:tcPr>
            <w:tcW w:w="490" w:type="pct"/>
            <w:tcBorders>
              <w:top w:val="nil"/>
              <w:left w:val="nil"/>
              <w:bottom w:val="nil"/>
              <w:right w:val="nil"/>
            </w:tcBorders>
            <w:shd w:val="clear" w:color="auto" w:fill="auto"/>
            <w:noWrap/>
            <w:vAlign w:val="center"/>
            <w:hideMark/>
          </w:tcPr>
          <w:p w14:paraId="78016651"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38,3%</w:t>
            </w:r>
          </w:p>
        </w:tc>
        <w:tc>
          <w:tcPr>
            <w:tcW w:w="490" w:type="pct"/>
            <w:tcBorders>
              <w:top w:val="nil"/>
              <w:left w:val="nil"/>
              <w:bottom w:val="nil"/>
              <w:right w:val="nil"/>
            </w:tcBorders>
            <w:shd w:val="clear" w:color="auto" w:fill="auto"/>
            <w:noWrap/>
            <w:vAlign w:val="center"/>
            <w:hideMark/>
          </w:tcPr>
          <w:p w14:paraId="68BF3320"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203,9%</w:t>
            </w:r>
          </w:p>
        </w:tc>
      </w:tr>
      <w:tr w:rsidR="00227AE1" w:rsidRPr="00393495" w14:paraId="12737390" w14:textId="77777777" w:rsidTr="00052435">
        <w:trPr>
          <w:trHeight w:val="238"/>
        </w:trPr>
        <w:tc>
          <w:tcPr>
            <w:tcW w:w="2499" w:type="pct"/>
            <w:tcBorders>
              <w:top w:val="single" w:sz="8" w:space="0" w:color="9BC2E6"/>
              <w:left w:val="nil"/>
              <w:bottom w:val="single" w:sz="8" w:space="0" w:color="9BC2E6"/>
              <w:right w:val="nil"/>
            </w:tcBorders>
            <w:shd w:val="clear" w:color="auto" w:fill="auto"/>
            <w:noWrap/>
            <w:vAlign w:val="center"/>
            <w:hideMark/>
          </w:tcPr>
          <w:p w14:paraId="053886F9"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7"/>
                <w:lang w:eastAsia="pt-BR"/>
              </w:rPr>
            </w:pPr>
            <w:r w:rsidRPr="00087F48">
              <w:rPr>
                <w:rFonts w:ascii="Arial" w:hAnsi="Arial" w:cs="Arial"/>
                <w:b/>
                <w:bCs/>
                <w:color w:val="000000"/>
                <w:sz w:val="16"/>
                <w:szCs w:val="17"/>
                <w:lang w:eastAsia="pt-BR"/>
              </w:rPr>
              <w:t>Total</w:t>
            </w:r>
          </w:p>
        </w:tc>
        <w:tc>
          <w:tcPr>
            <w:tcW w:w="507" w:type="pct"/>
            <w:tcBorders>
              <w:top w:val="single" w:sz="8" w:space="0" w:color="9BC2E6"/>
              <w:left w:val="nil"/>
              <w:bottom w:val="single" w:sz="8" w:space="0" w:color="9BC2E6"/>
              <w:right w:val="nil"/>
            </w:tcBorders>
            <w:shd w:val="clear" w:color="auto" w:fill="auto"/>
            <w:noWrap/>
            <w:vAlign w:val="center"/>
            <w:hideMark/>
          </w:tcPr>
          <w:p w14:paraId="649EA9B0"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7"/>
                <w:lang w:eastAsia="pt-BR"/>
              </w:rPr>
            </w:pPr>
            <w:r w:rsidRPr="00087F48">
              <w:rPr>
                <w:rFonts w:ascii="Arial" w:hAnsi="Arial" w:cs="Arial"/>
                <w:b/>
                <w:bCs/>
                <w:color w:val="000000"/>
                <w:sz w:val="16"/>
                <w:szCs w:val="17"/>
                <w:lang w:eastAsia="pt-BR"/>
              </w:rPr>
              <w:t xml:space="preserve">   165.638 </w:t>
            </w:r>
          </w:p>
        </w:tc>
        <w:tc>
          <w:tcPr>
            <w:tcW w:w="507" w:type="pct"/>
            <w:tcBorders>
              <w:top w:val="single" w:sz="8" w:space="0" w:color="9BC2E6"/>
              <w:left w:val="nil"/>
              <w:bottom w:val="single" w:sz="8" w:space="0" w:color="9BC2E6"/>
              <w:right w:val="nil"/>
            </w:tcBorders>
            <w:shd w:val="clear" w:color="auto" w:fill="auto"/>
            <w:noWrap/>
            <w:vAlign w:val="center"/>
            <w:hideMark/>
          </w:tcPr>
          <w:p w14:paraId="35E0BDB9"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7"/>
                <w:lang w:eastAsia="pt-BR"/>
              </w:rPr>
            </w:pPr>
            <w:r w:rsidRPr="00087F48">
              <w:rPr>
                <w:rFonts w:ascii="Arial" w:hAnsi="Arial" w:cs="Arial"/>
                <w:b/>
                <w:bCs/>
                <w:color w:val="000000"/>
                <w:sz w:val="16"/>
                <w:szCs w:val="17"/>
                <w:lang w:eastAsia="pt-BR"/>
              </w:rPr>
              <w:t xml:space="preserve">   119.372 </w:t>
            </w:r>
          </w:p>
        </w:tc>
        <w:tc>
          <w:tcPr>
            <w:tcW w:w="507" w:type="pct"/>
            <w:tcBorders>
              <w:top w:val="single" w:sz="8" w:space="0" w:color="9BC2E6"/>
              <w:left w:val="nil"/>
              <w:bottom w:val="single" w:sz="8" w:space="0" w:color="9BC2E6"/>
              <w:right w:val="nil"/>
            </w:tcBorders>
            <w:shd w:val="clear" w:color="auto" w:fill="auto"/>
            <w:noWrap/>
            <w:vAlign w:val="center"/>
            <w:hideMark/>
          </w:tcPr>
          <w:p w14:paraId="09DB348F"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7"/>
                <w:lang w:eastAsia="pt-BR"/>
              </w:rPr>
            </w:pPr>
            <w:r w:rsidRPr="00087F48">
              <w:rPr>
                <w:rFonts w:ascii="Arial" w:hAnsi="Arial" w:cs="Arial"/>
                <w:b/>
                <w:bCs/>
                <w:color w:val="000000"/>
                <w:sz w:val="16"/>
                <w:szCs w:val="17"/>
                <w:lang w:eastAsia="pt-BR"/>
              </w:rPr>
              <w:t xml:space="preserve">    49.467 </w:t>
            </w:r>
          </w:p>
        </w:tc>
        <w:tc>
          <w:tcPr>
            <w:tcW w:w="490" w:type="pct"/>
            <w:tcBorders>
              <w:top w:val="single" w:sz="8" w:space="0" w:color="9BC2E6"/>
              <w:left w:val="nil"/>
              <w:bottom w:val="single" w:sz="8" w:space="0" w:color="9BC2E6"/>
              <w:right w:val="nil"/>
            </w:tcBorders>
            <w:shd w:val="clear" w:color="auto" w:fill="auto"/>
            <w:noWrap/>
            <w:vAlign w:val="center"/>
            <w:hideMark/>
          </w:tcPr>
          <w:p w14:paraId="397BF6F7"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7"/>
                <w:lang w:eastAsia="pt-BR"/>
              </w:rPr>
            </w:pPr>
            <w:r w:rsidRPr="00087F48">
              <w:rPr>
                <w:rFonts w:ascii="Arial" w:hAnsi="Arial" w:cs="Arial"/>
                <w:b/>
                <w:bCs/>
                <w:color w:val="000000"/>
                <w:sz w:val="16"/>
                <w:szCs w:val="17"/>
                <w:lang w:eastAsia="pt-BR"/>
              </w:rPr>
              <w:t>38,8%</w:t>
            </w:r>
          </w:p>
        </w:tc>
        <w:tc>
          <w:tcPr>
            <w:tcW w:w="490" w:type="pct"/>
            <w:tcBorders>
              <w:top w:val="single" w:sz="8" w:space="0" w:color="9BC2E6"/>
              <w:left w:val="nil"/>
              <w:bottom w:val="single" w:sz="8" w:space="0" w:color="9BC2E6"/>
              <w:right w:val="nil"/>
            </w:tcBorders>
            <w:shd w:val="clear" w:color="auto" w:fill="auto"/>
            <w:noWrap/>
            <w:vAlign w:val="center"/>
            <w:hideMark/>
          </w:tcPr>
          <w:p w14:paraId="63BE313A"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7"/>
                <w:lang w:eastAsia="pt-BR"/>
              </w:rPr>
            </w:pPr>
            <w:r w:rsidRPr="00087F48">
              <w:rPr>
                <w:rFonts w:ascii="Arial" w:hAnsi="Arial" w:cs="Arial"/>
                <w:b/>
                <w:bCs/>
                <w:color w:val="000000"/>
                <w:sz w:val="16"/>
                <w:szCs w:val="17"/>
                <w:lang w:eastAsia="pt-BR"/>
              </w:rPr>
              <w:t>234,8%</w:t>
            </w:r>
          </w:p>
        </w:tc>
      </w:tr>
      <w:tr w:rsidR="00227AE1" w:rsidRPr="00393495" w14:paraId="5670ED89" w14:textId="77777777" w:rsidTr="00052435">
        <w:trPr>
          <w:trHeight w:val="238"/>
        </w:trPr>
        <w:tc>
          <w:tcPr>
            <w:tcW w:w="2499" w:type="pct"/>
            <w:tcBorders>
              <w:top w:val="nil"/>
              <w:left w:val="nil"/>
              <w:bottom w:val="nil"/>
              <w:right w:val="nil"/>
            </w:tcBorders>
            <w:shd w:val="clear" w:color="auto" w:fill="auto"/>
            <w:noWrap/>
            <w:vAlign w:val="center"/>
            <w:hideMark/>
          </w:tcPr>
          <w:p w14:paraId="72250798"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7"/>
                <w:lang w:eastAsia="pt-BR"/>
              </w:rPr>
            </w:pPr>
            <w:r w:rsidRPr="00087F48">
              <w:rPr>
                <w:rFonts w:ascii="Arial" w:hAnsi="Arial" w:cs="Arial"/>
                <w:b/>
                <w:bCs/>
                <w:color w:val="000000"/>
                <w:sz w:val="16"/>
                <w:szCs w:val="17"/>
                <w:lang w:eastAsia="pt-BR"/>
              </w:rPr>
              <w:t>Despesas Financeiras</w:t>
            </w:r>
          </w:p>
        </w:tc>
        <w:tc>
          <w:tcPr>
            <w:tcW w:w="507" w:type="pct"/>
            <w:tcBorders>
              <w:top w:val="nil"/>
              <w:left w:val="nil"/>
              <w:bottom w:val="nil"/>
              <w:right w:val="nil"/>
            </w:tcBorders>
            <w:shd w:val="clear" w:color="auto" w:fill="auto"/>
            <w:noWrap/>
            <w:vAlign w:val="bottom"/>
            <w:hideMark/>
          </w:tcPr>
          <w:p w14:paraId="11A13979"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7"/>
                <w:lang w:eastAsia="pt-BR"/>
              </w:rPr>
            </w:pPr>
          </w:p>
        </w:tc>
        <w:tc>
          <w:tcPr>
            <w:tcW w:w="507" w:type="pct"/>
            <w:tcBorders>
              <w:top w:val="nil"/>
              <w:left w:val="nil"/>
              <w:bottom w:val="nil"/>
              <w:right w:val="nil"/>
            </w:tcBorders>
            <w:shd w:val="clear" w:color="auto" w:fill="auto"/>
            <w:noWrap/>
            <w:vAlign w:val="bottom"/>
            <w:hideMark/>
          </w:tcPr>
          <w:p w14:paraId="7126961E" w14:textId="77777777" w:rsidR="00227AE1" w:rsidRPr="00087F48" w:rsidRDefault="00227AE1" w:rsidP="00227AE1">
            <w:pPr>
              <w:tabs>
                <w:tab w:val="clear" w:pos="851"/>
              </w:tabs>
              <w:spacing w:before="0" w:after="0" w:line="240" w:lineRule="auto"/>
              <w:jc w:val="left"/>
              <w:rPr>
                <w:rFonts w:ascii="Arial" w:hAnsi="Arial" w:cs="Arial"/>
                <w:color w:val="auto"/>
                <w:sz w:val="16"/>
                <w:szCs w:val="20"/>
                <w:lang w:eastAsia="pt-BR"/>
              </w:rPr>
            </w:pPr>
          </w:p>
        </w:tc>
        <w:tc>
          <w:tcPr>
            <w:tcW w:w="507" w:type="pct"/>
            <w:tcBorders>
              <w:top w:val="nil"/>
              <w:left w:val="nil"/>
              <w:bottom w:val="nil"/>
              <w:right w:val="nil"/>
            </w:tcBorders>
            <w:shd w:val="clear" w:color="auto" w:fill="auto"/>
            <w:noWrap/>
            <w:vAlign w:val="bottom"/>
            <w:hideMark/>
          </w:tcPr>
          <w:p w14:paraId="705A01D2" w14:textId="77777777" w:rsidR="00227AE1" w:rsidRPr="00087F48" w:rsidRDefault="00227AE1" w:rsidP="00227AE1">
            <w:pPr>
              <w:tabs>
                <w:tab w:val="clear" w:pos="851"/>
              </w:tabs>
              <w:spacing w:before="0" w:after="0" w:line="240" w:lineRule="auto"/>
              <w:jc w:val="left"/>
              <w:rPr>
                <w:rFonts w:ascii="Arial" w:hAnsi="Arial" w:cs="Arial"/>
                <w:color w:val="auto"/>
                <w:sz w:val="16"/>
                <w:szCs w:val="20"/>
                <w:lang w:eastAsia="pt-BR"/>
              </w:rPr>
            </w:pPr>
          </w:p>
        </w:tc>
        <w:tc>
          <w:tcPr>
            <w:tcW w:w="490" w:type="pct"/>
            <w:tcBorders>
              <w:top w:val="nil"/>
              <w:left w:val="nil"/>
              <w:bottom w:val="nil"/>
              <w:right w:val="nil"/>
            </w:tcBorders>
            <w:shd w:val="clear" w:color="auto" w:fill="auto"/>
            <w:noWrap/>
            <w:vAlign w:val="bottom"/>
            <w:hideMark/>
          </w:tcPr>
          <w:p w14:paraId="4804B81F" w14:textId="77777777" w:rsidR="00227AE1" w:rsidRPr="00087F48" w:rsidRDefault="00227AE1" w:rsidP="00227AE1">
            <w:pPr>
              <w:tabs>
                <w:tab w:val="clear" w:pos="851"/>
              </w:tabs>
              <w:spacing w:before="0" w:after="0" w:line="240" w:lineRule="auto"/>
              <w:jc w:val="left"/>
              <w:rPr>
                <w:rFonts w:ascii="Arial" w:hAnsi="Arial" w:cs="Arial"/>
                <w:color w:val="auto"/>
                <w:sz w:val="16"/>
                <w:szCs w:val="20"/>
                <w:lang w:eastAsia="pt-BR"/>
              </w:rPr>
            </w:pPr>
          </w:p>
        </w:tc>
        <w:tc>
          <w:tcPr>
            <w:tcW w:w="490" w:type="pct"/>
            <w:tcBorders>
              <w:top w:val="nil"/>
              <w:left w:val="nil"/>
              <w:bottom w:val="nil"/>
              <w:right w:val="nil"/>
            </w:tcBorders>
            <w:shd w:val="clear" w:color="auto" w:fill="auto"/>
            <w:noWrap/>
            <w:vAlign w:val="bottom"/>
            <w:hideMark/>
          </w:tcPr>
          <w:p w14:paraId="78184736" w14:textId="77777777" w:rsidR="00227AE1" w:rsidRPr="00087F48" w:rsidRDefault="00227AE1" w:rsidP="00227AE1">
            <w:pPr>
              <w:tabs>
                <w:tab w:val="clear" w:pos="851"/>
              </w:tabs>
              <w:spacing w:before="0" w:after="0" w:line="240" w:lineRule="auto"/>
              <w:jc w:val="left"/>
              <w:rPr>
                <w:rFonts w:ascii="Arial" w:hAnsi="Arial" w:cs="Arial"/>
                <w:color w:val="auto"/>
                <w:sz w:val="16"/>
                <w:szCs w:val="20"/>
                <w:lang w:eastAsia="pt-BR"/>
              </w:rPr>
            </w:pPr>
          </w:p>
        </w:tc>
      </w:tr>
      <w:tr w:rsidR="00227AE1" w:rsidRPr="00393495" w14:paraId="3968FF26" w14:textId="77777777" w:rsidTr="00052435">
        <w:trPr>
          <w:trHeight w:val="238"/>
        </w:trPr>
        <w:tc>
          <w:tcPr>
            <w:tcW w:w="2499" w:type="pct"/>
            <w:tcBorders>
              <w:top w:val="nil"/>
              <w:left w:val="nil"/>
              <w:bottom w:val="nil"/>
              <w:right w:val="nil"/>
            </w:tcBorders>
            <w:shd w:val="clear" w:color="auto" w:fill="auto"/>
            <w:noWrap/>
            <w:vAlign w:val="center"/>
            <w:hideMark/>
          </w:tcPr>
          <w:p w14:paraId="4555719E" w14:textId="77777777"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t>Juros sobre Adiantamento para Futuro Aumento de Capital (</w:t>
            </w:r>
            <w:proofErr w:type="spellStart"/>
            <w:r w:rsidRPr="00087F48">
              <w:rPr>
                <w:rFonts w:ascii="Arial" w:hAnsi="Arial" w:cs="Arial"/>
                <w:color w:val="000000"/>
                <w:sz w:val="16"/>
                <w:szCs w:val="17"/>
                <w:lang w:eastAsia="pt-BR"/>
              </w:rPr>
              <w:t>iii</w:t>
            </w:r>
            <w:proofErr w:type="spellEnd"/>
            <w:r w:rsidRPr="00087F48">
              <w:rPr>
                <w:rFonts w:ascii="Arial" w:hAnsi="Arial" w:cs="Arial"/>
                <w:color w:val="000000"/>
                <w:sz w:val="16"/>
                <w:szCs w:val="17"/>
                <w:lang w:eastAsia="pt-BR"/>
              </w:rPr>
              <w:t>)</w:t>
            </w:r>
          </w:p>
        </w:tc>
        <w:tc>
          <w:tcPr>
            <w:tcW w:w="507" w:type="pct"/>
            <w:tcBorders>
              <w:top w:val="nil"/>
              <w:left w:val="nil"/>
              <w:bottom w:val="nil"/>
              <w:right w:val="nil"/>
            </w:tcBorders>
            <w:shd w:val="clear" w:color="auto" w:fill="auto"/>
            <w:noWrap/>
            <w:vAlign w:val="center"/>
            <w:hideMark/>
          </w:tcPr>
          <w:p w14:paraId="79F493DC"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(198.416)</w:t>
            </w:r>
          </w:p>
        </w:tc>
        <w:tc>
          <w:tcPr>
            <w:tcW w:w="507" w:type="pct"/>
            <w:tcBorders>
              <w:top w:val="nil"/>
              <w:left w:val="nil"/>
              <w:bottom w:val="nil"/>
              <w:right w:val="nil"/>
            </w:tcBorders>
            <w:shd w:val="clear" w:color="auto" w:fill="auto"/>
            <w:noWrap/>
            <w:vAlign w:val="center"/>
            <w:hideMark/>
          </w:tcPr>
          <w:p w14:paraId="36D95A7B"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(185.767)</w:t>
            </w:r>
          </w:p>
        </w:tc>
        <w:tc>
          <w:tcPr>
            <w:tcW w:w="507" w:type="pct"/>
            <w:tcBorders>
              <w:top w:val="nil"/>
              <w:left w:val="nil"/>
              <w:bottom w:val="nil"/>
              <w:right w:val="nil"/>
            </w:tcBorders>
            <w:shd w:val="clear" w:color="auto" w:fill="auto"/>
            <w:noWrap/>
            <w:vAlign w:val="center"/>
            <w:hideMark/>
          </w:tcPr>
          <w:p w14:paraId="4B70E864"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(69.344)</w:t>
            </w:r>
          </w:p>
        </w:tc>
        <w:tc>
          <w:tcPr>
            <w:tcW w:w="490" w:type="pct"/>
            <w:tcBorders>
              <w:top w:val="nil"/>
              <w:left w:val="nil"/>
              <w:bottom w:val="nil"/>
              <w:right w:val="nil"/>
            </w:tcBorders>
            <w:shd w:val="clear" w:color="auto" w:fill="auto"/>
            <w:noWrap/>
            <w:vAlign w:val="center"/>
            <w:hideMark/>
          </w:tcPr>
          <w:p w14:paraId="459017A6"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6,8%</w:t>
            </w:r>
          </w:p>
        </w:tc>
        <w:tc>
          <w:tcPr>
            <w:tcW w:w="490" w:type="pct"/>
            <w:tcBorders>
              <w:top w:val="nil"/>
              <w:left w:val="nil"/>
              <w:bottom w:val="nil"/>
              <w:right w:val="nil"/>
            </w:tcBorders>
            <w:shd w:val="clear" w:color="auto" w:fill="auto"/>
            <w:noWrap/>
            <w:vAlign w:val="center"/>
            <w:hideMark/>
          </w:tcPr>
          <w:p w14:paraId="43E8148B"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186,1%</w:t>
            </w:r>
          </w:p>
        </w:tc>
      </w:tr>
      <w:tr w:rsidR="00227AE1" w:rsidRPr="00393495" w14:paraId="6359EE3E" w14:textId="77777777" w:rsidTr="00052435">
        <w:trPr>
          <w:trHeight w:val="238"/>
        </w:trPr>
        <w:tc>
          <w:tcPr>
            <w:tcW w:w="2499" w:type="pct"/>
            <w:tcBorders>
              <w:top w:val="nil"/>
              <w:left w:val="nil"/>
              <w:bottom w:val="nil"/>
              <w:right w:val="nil"/>
            </w:tcBorders>
            <w:shd w:val="clear" w:color="auto" w:fill="auto"/>
            <w:noWrap/>
            <w:vAlign w:val="center"/>
            <w:hideMark/>
          </w:tcPr>
          <w:p w14:paraId="0C1128CE" w14:textId="77777777"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t>Juros e Variação Monetária de Acordos Judiciais (</w:t>
            </w:r>
            <w:proofErr w:type="spellStart"/>
            <w:r w:rsidRPr="00087F48">
              <w:rPr>
                <w:rFonts w:ascii="Arial" w:hAnsi="Arial" w:cs="Arial"/>
                <w:color w:val="000000"/>
                <w:sz w:val="16"/>
                <w:szCs w:val="17"/>
                <w:lang w:eastAsia="pt-BR"/>
              </w:rPr>
              <w:t>iv</w:t>
            </w:r>
            <w:proofErr w:type="spellEnd"/>
            <w:r w:rsidRPr="00087F48">
              <w:rPr>
                <w:rFonts w:ascii="Arial" w:hAnsi="Arial" w:cs="Arial"/>
                <w:color w:val="000000"/>
                <w:sz w:val="16"/>
                <w:szCs w:val="17"/>
                <w:lang w:eastAsia="pt-BR"/>
              </w:rPr>
              <w:t>)</w:t>
            </w:r>
          </w:p>
        </w:tc>
        <w:tc>
          <w:tcPr>
            <w:tcW w:w="507" w:type="pct"/>
            <w:tcBorders>
              <w:top w:val="nil"/>
              <w:left w:val="nil"/>
              <w:bottom w:val="nil"/>
              <w:right w:val="nil"/>
            </w:tcBorders>
            <w:shd w:val="clear" w:color="auto" w:fill="auto"/>
            <w:noWrap/>
            <w:vAlign w:val="center"/>
            <w:hideMark/>
          </w:tcPr>
          <w:p w14:paraId="09570BB4"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(13.678)</w:t>
            </w:r>
          </w:p>
        </w:tc>
        <w:tc>
          <w:tcPr>
            <w:tcW w:w="507" w:type="pct"/>
            <w:tcBorders>
              <w:top w:val="nil"/>
              <w:left w:val="nil"/>
              <w:bottom w:val="nil"/>
              <w:right w:val="nil"/>
            </w:tcBorders>
            <w:shd w:val="clear" w:color="auto" w:fill="auto"/>
            <w:noWrap/>
            <w:vAlign w:val="center"/>
            <w:hideMark/>
          </w:tcPr>
          <w:p w14:paraId="6B68B9F3"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(18.483)</w:t>
            </w:r>
          </w:p>
        </w:tc>
        <w:tc>
          <w:tcPr>
            <w:tcW w:w="507" w:type="pct"/>
            <w:tcBorders>
              <w:top w:val="nil"/>
              <w:left w:val="nil"/>
              <w:bottom w:val="nil"/>
              <w:right w:val="nil"/>
            </w:tcBorders>
            <w:shd w:val="clear" w:color="auto" w:fill="auto"/>
            <w:noWrap/>
            <w:vAlign w:val="center"/>
            <w:hideMark/>
          </w:tcPr>
          <w:p w14:paraId="2BB29D02"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(25.904)</w:t>
            </w:r>
          </w:p>
        </w:tc>
        <w:tc>
          <w:tcPr>
            <w:tcW w:w="490" w:type="pct"/>
            <w:tcBorders>
              <w:top w:val="nil"/>
              <w:left w:val="nil"/>
              <w:bottom w:val="nil"/>
              <w:right w:val="nil"/>
            </w:tcBorders>
            <w:shd w:val="clear" w:color="auto" w:fill="auto"/>
            <w:noWrap/>
            <w:vAlign w:val="center"/>
            <w:hideMark/>
          </w:tcPr>
          <w:p w14:paraId="7E3E27C5"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-26,0%</w:t>
            </w:r>
          </w:p>
        </w:tc>
        <w:tc>
          <w:tcPr>
            <w:tcW w:w="490" w:type="pct"/>
            <w:tcBorders>
              <w:top w:val="nil"/>
              <w:left w:val="nil"/>
              <w:bottom w:val="nil"/>
              <w:right w:val="nil"/>
            </w:tcBorders>
            <w:shd w:val="clear" w:color="auto" w:fill="auto"/>
            <w:noWrap/>
            <w:vAlign w:val="center"/>
            <w:hideMark/>
          </w:tcPr>
          <w:p w14:paraId="3188ACCC"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-47,2%</w:t>
            </w:r>
          </w:p>
        </w:tc>
      </w:tr>
      <w:tr w:rsidR="00227AE1" w:rsidRPr="00393495" w14:paraId="4488EEF5" w14:textId="77777777" w:rsidTr="00052435">
        <w:trPr>
          <w:trHeight w:val="238"/>
        </w:trPr>
        <w:tc>
          <w:tcPr>
            <w:tcW w:w="2499" w:type="pct"/>
            <w:tcBorders>
              <w:top w:val="nil"/>
              <w:left w:val="nil"/>
              <w:bottom w:val="nil"/>
              <w:right w:val="nil"/>
            </w:tcBorders>
            <w:shd w:val="clear" w:color="auto" w:fill="auto"/>
            <w:noWrap/>
            <w:vAlign w:val="center"/>
            <w:hideMark/>
          </w:tcPr>
          <w:p w14:paraId="0C159C17" w14:textId="77777777"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t>Juros/VM s/ Prov. p/ Riscos Trabalhistas, Cíveis e Fiscais</w:t>
            </w:r>
          </w:p>
        </w:tc>
        <w:tc>
          <w:tcPr>
            <w:tcW w:w="507" w:type="pct"/>
            <w:tcBorders>
              <w:top w:val="nil"/>
              <w:left w:val="nil"/>
              <w:bottom w:val="nil"/>
              <w:right w:val="nil"/>
            </w:tcBorders>
            <w:shd w:val="clear" w:color="auto" w:fill="auto"/>
            <w:noWrap/>
            <w:vAlign w:val="center"/>
            <w:hideMark/>
          </w:tcPr>
          <w:p w14:paraId="3411D07C"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(6.775)</w:t>
            </w:r>
          </w:p>
        </w:tc>
        <w:tc>
          <w:tcPr>
            <w:tcW w:w="507" w:type="pct"/>
            <w:tcBorders>
              <w:top w:val="nil"/>
              <w:left w:val="nil"/>
              <w:bottom w:val="nil"/>
              <w:right w:val="nil"/>
            </w:tcBorders>
            <w:shd w:val="clear" w:color="auto" w:fill="auto"/>
            <w:noWrap/>
            <w:vAlign w:val="center"/>
            <w:hideMark/>
          </w:tcPr>
          <w:p w14:paraId="2A77EC61"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(7.544)</w:t>
            </w:r>
          </w:p>
        </w:tc>
        <w:tc>
          <w:tcPr>
            <w:tcW w:w="507" w:type="pct"/>
            <w:tcBorders>
              <w:top w:val="nil"/>
              <w:left w:val="nil"/>
              <w:bottom w:val="nil"/>
              <w:right w:val="nil"/>
            </w:tcBorders>
            <w:shd w:val="clear" w:color="auto" w:fill="auto"/>
            <w:noWrap/>
            <w:vAlign w:val="center"/>
            <w:hideMark/>
          </w:tcPr>
          <w:p w14:paraId="55B41C14"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(8.847)</w:t>
            </w:r>
          </w:p>
        </w:tc>
        <w:tc>
          <w:tcPr>
            <w:tcW w:w="490" w:type="pct"/>
            <w:tcBorders>
              <w:top w:val="nil"/>
              <w:left w:val="nil"/>
              <w:bottom w:val="nil"/>
              <w:right w:val="nil"/>
            </w:tcBorders>
            <w:shd w:val="clear" w:color="auto" w:fill="auto"/>
            <w:noWrap/>
            <w:vAlign w:val="center"/>
            <w:hideMark/>
          </w:tcPr>
          <w:p w14:paraId="79A6191B"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-10,2%</w:t>
            </w:r>
          </w:p>
        </w:tc>
        <w:tc>
          <w:tcPr>
            <w:tcW w:w="490" w:type="pct"/>
            <w:tcBorders>
              <w:top w:val="nil"/>
              <w:left w:val="nil"/>
              <w:bottom w:val="nil"/>
              <w:right w:val="nil"/>
            </w:tcBorders>
            <w:shd w:val="clear" w:color="auto" w:fill="auto"/>
            <w:noWrap/>
            <w:vAlign w:val="center"/>
            <w:hideMark/>
          </w:tcPr>
          <w:p w14:paraId="741E2BF3"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-23,4%</w:t>
            </w:r>
          </w:p>
        </w:tc>
      </w:tr>
      <w:tr w:rsidR="00227AE1" w:rsidRPr="00393495" w14:paraId="63028ADF" w14:textId="77777777" w:rsidTr="00052435">
        <w:trPr>
          <w:trHeight w:val="238"/>
        </w:trPr>
        <w:tc>
          <w:tcPr>
            <w:tcW w:w="2499" w:type="pct"/>
            <w:tcBorders>
              <w:top w:val="nil"/>
              <w:left w:val="nil"/>
              <w:bottom w:val="nil"/>
              <w:right w:val="nil"/>
            </w:tcBorders>
            <w:shd w:val="clear" w:color="auto" w:fill="auto"/>
            <w:noWrap/>
            <w:vAlign w:val="center"/>
            <w:hideMark/>
          </w:tcPr>
          <w:p w14:paraId="5443F336" w14:textId="77777777"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t>Juros sobre Empréstimos e Financiamentos</w:t>
            </w:r>
          </w:p>
        </w:tc>
        <w:tc>
          <w:tcPr>
            <w:tcW w:w="507" w:type="pct"/>
            <w:tcBorders>
              <w:top w:val="nil"/>
              <w:left w:val="nil"/>
              <w:bottom w:val="nil"/>
              <w:right w:val="nil"/>
            </w:tcBorders>
            <w:shd w:val="clear" w:color="auto" w:fill="auto"/>
            <w:noWrap/>
            <w:vAlign w:val="center"/>
            <w:hideMark/>
          </w:tcPr>
          <w:p w14:paraId="4DD64006"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(5.474)</w:t>
            </w:r>
          </w:p>
        </w:tc>
        <w:tc>
          <w:tcPr>
            <w:tcW w:w="507" w:type="pct"/>
            <w:tcBorders>
              <w:top w:val="nil"/>
              <w:left w:val="nil"/>
              <w:bottom w:val="nil"/>
              <w:right w:val="nil"/>
            </w:tcBorders>
            <w:shd w:val="clear" w:color="auto" w:fill="auto"/>
            <w:noWrap/>
            <w:vAlign w:val="center"/>
            <w:hideMark/>
          </w:tcPr>
          <w:p w14:paraId="2F63051D"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(6.707)</w:t>
            </w:r>
          </w:p>
        </w:tc>
        <w:tc>
          <w:tcPr>
            <w:tcW w:w="507" w:type="pct"/>
            <w:tcBorders>
              <w:top w:val="nil"/>
              <w:left w:val="nil"/>
              <w:bottom w:val="nil"/>
              <w:right w:val="nil"/>
            </w:tcBorders>
            <w:shd w:val="clear" w:color="auto" w:fill="auto"/>
            <w:noWrap/>
            <w:vAlign w:val="center"/>
            <w:hideMark/>
          </w:tcPr>
          <w:p w14:paraId="04C808B3"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(6.538)</w:t>
            </w:r>
          </w:p>
        </w:tc>
        <w:tc>
          <w:tcPr>
            <w:tcW w:w="490" w:type="pct"/>
            <w:tcBorders>
              <w:top w:val="nil"/>
              <w:left w:val="nil"/>
              <w:bottom w:val="nil"/>
              <w:right w:val="nil"/>
            </w:tcBorders>
            <w:shd w:val="clear" w:color="auto" w:fill="auto"/>
            <w:noWrap/>
            <w:vAlign w:val="center"/>
            <w:hideMark/>
          </w:tcPr>
          <w:p w14:paraId="0902625E"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-18,4%</w:t>
            </w:r>
          </w:p>
        </w:tc>
        <w:tc>
          <w:tcPr>
            <w:tcW w:w="490" w:type="pct"/>
            <w:tcBorders>
              <w:top w:val="nil"/>
              <w:left w:val="nil"/>
              <w:bottom w:val="nil"/>
              <w:right w:val="nil"/>
            </w:tcBorders>
            <w:shd w:val="clear" w:color="auto" w:fill="auto"/>
            <w:noWrap/>
            <w:vAlign w:val="center"/>
            <w:hideMark/>
          </w:tcPr>
          <w:p w14:paraId="3B84717D"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-16,3%</w:t>
            </w:r>
          </w:p>
        </w:tc>
      </w:tr>
      <w:tr w:rsidR="00227AE1" w:rsidRPr="00393495" w14:paraId="380BA438" w14:textId="77777777" w:rsidTr="00052435">
        <w:trPr>
          <w:trHeight w:val="238"/>
        </w:trPr>
        <w:tc>
          <w:tcPr>
            <w:tcW w:w="2499" w:type="pct"/>
            <w:tcBorders>
              <w:top w:val="nil"/>
              <w:left w:val="nil"/>
              <w:bottom w:val="nil"/>
              <w:right w:val="nil"/>
            </w:tcBorders>
            <w:shd w:val="clear" w:color="auto" w:fill="auto"/>
            <w:noWrap/>
            <w:vAlign w:val="center"/>
            <w:hideMark/>
          </w:tcPr>
          <w:p w14:paraId="73966B45" w14:textId="77777777" w:rsidR="00227AE1" w:rsidRPr="00087F48" w:rsidRDefault="00227AE1" w:rsidP="00227AE1">
            <w:pPr>
              <w:tabs>
                <w:tab w:val="clear" w:pos="851"/>
              </w:tabs>
              <w:spacing w:before="0" w:after="0" w:line="240" w:lineRule="auto"/>
              <w:jc w:val="left"/>
              <w:rPr>
                <w:rFonts w:ascii="Arial" w:hAnsi="Arial" w:cs="Arial"/>
                <w:color w:val="000000"/>
                <w:sz w:val="16"/>
                <w:szCs w:val="17"/>
                <w:lang w:eastAsia="pt-BR"/>
              </w:rPr>
            </w:pPr>
            <w:r w:rsidRPr="00087F48">
              <w:rPr>
                <w:rFonts w:ascii="Arial" w:hAnsi="Arial" w:cs="Arial"/>
                <w:color w:val="000000"/>
                <w:sz w:val="16"/>
                <w:szCs w:val="17"/>
                <w:lang w:eastAsia="pt-BR"/>
              </w:rPr>
              <w:t>Outras Despesas</w:t>
            </w:r>
          </w:p>
        </w:tc>
        <w:tc>
          <w:tcPr>
            <w:tcW w:w="507" w:type="pct"/>
            <w:tcBorders>
              <w:top w:val="nil"/>
              <w:left w:val="nil"/>
              <w:bottom w:val="nil"/>
              <w:right w:val="nil"/>
            </w:tcBorders>
            <w:shd w:val="clear" w:color="auto" w:fill="auto"/>
            <w:noWrap/>
            <w:vAlign w:val="center"/>
            <w:hideMark/>
          </w:tcPr>
          <w:p w14:paraId="6C9E233C"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(1.245)</w:t>
            </w:r>
          </w:p>
        </w:tc>
        <w:tc>
          <w:tcPr>
            <w:tcW w:w="507" w:type="pct"/>
            <w:tcBorders>
              <w:top w:val="nil"/>
              <w:left w:val="nil"/>
              <w:bottom w:val="nil"/>
              <w:right w:val="nil"/>
            </w:tcBorders>
            <w:shd w:val="clear" w:color="auto" w:fill="auto"/>
            <w:noWrap/>
            <w:vAlign w:val="center"/>
            <w:hideMark/>
          </w:tcPr>
          <w:p w14:paraId="09BAA7AA"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(1.019)</w:t>
            </w:r>
          </w:p>
        </w:tc>
        <w:tc>
          <w:tcPr>
            <w:tcW w:w="507" w:type="pct"/>
            <w:tcBorders>
              <w:top w:val="nil"/>
              <w:left w:val="nil"/>
              <w:bottom w:val="nil"/>
              <w:right w:val="nil"/>
            </w:tcBorders>
            <w:shd w:val="clear" w:color="auto" w:fill="auto"/>
            <w:noWrap/>
            <w:vAlign w:val="center"/>
            <w:hideMark/>
          </w:tcPr>
          <w:p w14:paraId="58BEE9C4"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 xml:space="preserve">     (1.116)</w:t>
            </w:r>
          </w:p>
        </w:tc>
        <w:tc>
          <w:tcPr>
            <w:tcW w:w="490" w:type="pct"/>
            <w:tcBorders>
              <w:top w:val="nil"/>
              <w:left w:val="nil"/>
              <w:bottom w:val="nil"/>
              <w:right w:val="nil"/>
            </w:tcBorders>
            <w:shd w:val="clear" w:color="auto" w:fill="auto"/>
            <w:noWrap/>
            <w:vAlign w:val="center"/>
            <w:hideMark/>
          </w:tcPr>
          <w:p w14:paraId="2F1AE935"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22,2%</w:t>
            </w:r>
          </w:p>
        </w:tc>
        <w:tc>
          <w:tcPr>
            <w:tcW w:w="490" w:type="pct"/>
            <w:tcBorders>
              <w:top w:val="nil"/>
              <w:left w:val="nil"/>
              <w:bottom w:val="nil"/>
              <w:right w:val="nil"/>
            </w:tcBorders>
            <w:shd w:val="clear" w:color="auto" w:fill="auto"/>
            <w:noWrap/>
            <w:vAlign w:val="center"/>
            <w:hideMark/>
          </w:tcPr>
          <w:p w14:paraId="36716A66" w14:textId="77777777" w:rsidR="00227AE1" w:rsidRPr="00087F48" w:rsidRDefault="00227AE1" w:rsidP="00227AE1">
            <w:pPr>
              <w:tabs>
                <w:tab w:val="clear" w:pos="851"/>
              </w:tabs>
              <w:spacing w:before="0" w:after="0" w:line="240" w:lineRule="auto"/>
              <w:jc w:val="right"/>
              <w:rPr>
                <w:rFonts w:ascii="Arial" w:hAnsi="Arial" w:cs="Arial"/>
                <w:color w:val="000000"/>
                <w:sz w:val="16"/>
                <w:szCs w:val="17"/>
                <w:lang w:eastAsia="pt-BR"/>
              </w:rPr>
            </w:pPr>
            <w:r w:rsidRPr="00087F48">
              <w:rPr>
                <w:rFonts w:ascii="Arial" w:hAnsi="Arial" w:cs="Arial"/>
                <w:color w:val="000000"/>
                <w:sz w:val="16"/>
                <w:szCs w:val="17"/>
                <w:lang w:eastAsia="pt-BR"/>
              </w:rPr>
              <w:t>11,6%</w:t>
            </w:r>
          </w:p>
        </w:tc>
      </w:tr>
      <w:tr w:rsidR="00227AE1" w:rsidRPr="00393495" w14:paraId="06BA4AE3" w14:textId="77777777" w:rsidTr="00052435">
        <w:trPr>
          <w:trHeight w:val="238"/>
        </w:trPr>
        <w:tc>
          <w:tcPr>
            <w:tcW w:w="2499" w:type="pct"/>
            <w:tcBorders>
              <w:top w:val="single" w:sz="8" w:space="0" w:color="9BC2E6"/>
              <w:left w:val="nil"/>
              <w:bottom w:val="single" w:sz="8" w:space="0" w:color="9BC2E6"/>
              <w:right w:val="nil"/>
            </w:tcBorders>
            <w:shd w:val="clear" w:color="auto" w:fill="auto"/>
            <w:noWrap/>
            <w:vAlign w:val="center"/>
            <w:hideMark/>
          </w:tcPr>
          <w:p w14:paraId="31A7D807"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7"/>
                <w:lang w:eastAsia="pt-BR"/>
              </w:rPr>
            </w:pPr>
            <w:r w:rsidRPr="00087F48">
              <w:rPr>
                <w:rFonts w:ascii="Arial" w:hAnsi="Arial" w:cs="Arial"/>
                <w:b/>
                <w:bCs/>
                <w:color w:val="000000"/>
                <w:sz w:val="16"/>
                <w:szCs w:val="17"/>
                <w:lang w:eastAsia="pt-BR"/>
              </w:rPr>
              <w:t>Total</w:t>
            </w:r>
          </w:p>
        </w:tc>
        <w:tc>
          <w:tcPr>
            <w:tcW w:w="507" w:type="pct"/>
            <w:tcBorders>
              <w:top w:val="single" w:sz="8" w:space="0" w:color="9BC2E6"/>
              <w:left w:val="nil"/>
              <w:bottom w:val="single" w:sz="8" w:space="0" w:color="9BC2E6"/>
              <w:right w:val="nil"/>
            </w:tcBorders>
            <w:shd w:val="clear" w:color="auto" w:fill="auto"/>
            <w:noWrap/>
            <w:vAlign w:val="center"/>
            <w:hideMark/>
          </w:tcPr>
          <w:p w14:paraId="0F175CA9"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7"/>
                <w:lang w:eastAsia="pt-BR"/>
              </w:rPr>
            </w:pPr>
            <w:r w:rsidRPr="00087F48">
              <w:rPr>
                <w:rFonts w:ascii="Arial" w:hAnsi="Arial" w:cs="Arial"/>
                <w:b/>
                <w:bCs/>
                <w:color w:val="000000"/>
                <w:sz w:val="16"/>
                <w:szCs w:val="17"/>
                <w:lang w:eastAsia="pt-BR"/>
              </w:rPr>
              <w:t xml:space="preserve"> (225.588)</w:t>
            </w:r>
          </w:p>
        </w:tc>
        <w:tc>
          <w:tcPr>
            <w:tcW w:w="507" w:type="pct"/>
            <w:tcBorders>
              <w:top w:val="single" w:sz="8" w:space="0" w:color="9BC2E6"/>
              <w:left w:val="nil"/>
              <w:bottom w:val="single" w:sz="8" w:space="0" w:color="9BC2E6"/>
              <w:right w:val="nil"/>
            </w:tcBorders>
            <w:shd w:val="clear" w:color="auto" w:fill="auto"/>
            <w:noWrap/>
            <w:vAlign w:val="center"/>
            <w:hideMark/>
          </w:tcPr>
          <w:p w14:paraId="0E4A8A40"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7"/>
                <w:lang w:eastAsia="pt-BR"/>
              </w:rPr>
            </w:pPr>
            <w:r w:rsidRPr="00087F48">
              <w:rPr>
                <w:rFonts w:ascii="Arial" w:hAnsi="Arial" w:cs="Arial"/>
                <w:b/>
                <w:bCs/>
                <w:color w:val="000000"/>
                <w:sz w:val="16"/>
                <w:szCs w:val="17"/>
                <w:lang w:eastAsia="pt-BR"/>
              </w:rPr>
              <w:t xml:space="preserve"> (219.520)</w:t>
            </w:r>
          </w:p>
        </w:tc>
        <w:tc>
          <w:tcPr>
            <w:tcW w:w="507" w:type="pct"/>
            <w:tcBorders>
              <w:top w:val="single" w:sz="8" w:space="0" w:color="9BC2E6"/>
              <w:left w:val="nil"/>
              <w:bottom w:val="single" w:sz="8" w:space="0" w:color="9BC2E6"/>
              <w:right w:val="nil"/>
            </w:tcBorders>
            <w:shd w:val="clear" w:color="auto" w:fill="auto"/>
            <w:noWrap/>
            <w:vAlign w:val="center"/>
            <w:hideMark/>
          </w:tcPr>
          <w:p w14:paraId="5CA67E55"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7"/>
                <w:lang w:eastAsia="pt-BR"/>
              </w:rPr>
            </w:pPr>
            <w:r w:rsidRPr="00087F48">
              <w:rPr>
                <w:rFonts w:ascii="Arial" w:hAnsi="Arial" w:cs="Arial"/>
                <w:b/>
                <w:bCs/>
                <w:color w:val="000000"/>
                <w:sz w:val="16"/>
                <w:szCs w:val="17"/>
                <w:lang w:eastAsia="pt-BR"/>
              </w:rPr>
              <w:t xml:space="preserve"> (111.749)</w:t>
            </w:r>
          </w:p>
        </w:tc>
        <w:tc>
          <w:tcPr>
            <w:tcW w:w="490" w:type="pct"/>
            <w:tcBorders>
              <w:top w:val="single" w:sz="8" w:space="0" w:color="9BC2E6"/>
              <w:left w:val="nil"/>
              <w:bottom w:val="single" w:sz="8" w:space="0" w:color="9BC2E6"/>
              <w:right w:val="nil"/>
            </w:tcBorders>
            <w:shd w:val="clear" w:color="auto" w:fill="auto"/>
            <w:noWrap/>
            <w:vAlign w:val="center"/>
            <w:hideMark/>
          </w:tcPr>
          <w:p w14:paraId="7A496ED9"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7"/>
                <w:lang w:eastAsia="pt-BR"/>
              </w:rPr>
            </w:pPr>
            <w:r w:rsidRPr="00087F48">
              <w:rPr>
                <w:rFonts w:ascii="Arial" w:hAnsi="Arial" w:cs="Arial"/>
                <w:b/>
                <w:bCs/>
                <w:color w:val="000000"/>
                <w:sz w:val="16"/>
                <w:szCs w:val="17"/>
                <w:lang w:eastAsia="pt-BR"/>
              </w:rPr>
              <w:t>2,8%</w:t>
            </w:r>
          </w:p>
        </w:tc>
        <w:tc>
          <w:tcPr>
            <w:tcW w:w="490" w:type="pct"/>
            <w:tcBorders>
              <w:top w:val="single" w:sz="8" w:space="0" w:color="9BC2E6"/>
              <w:left w:val="nil"/>
              <w:bottom w:val="single" w:sz="8" w:space="0" w:color="9BC2E6"/>
              <w:right w:val="nil"/>
            </w:tcBorders>
            <w:shd w:val="clear" w:color="auto" w:fill="auto"/>
            <w:noWrap/>
            <w:vAlign w:val="center"/>
            <w:hideMark/>
          </w:tcPr>
          <w:p w14:paraId="6E2E7137"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7"/>
                <w:lang w:eastAsia="pt-BR"/>
              </w:rPr>
            </w:pPr>
            <w:r w:rsidRPr="00087F48">
              <w:rPr>
                <w:rFonts w:ascii="Arial" w:hAnsi="Arial" w:cs="Arial"/>
                <w:b/>
                <w:bCs/>
                <w:color w:val="000000"/>
                <w:sz w:val="16"/>
                <w:szCs w:val="17"/>
                <w:lang w:eastAsia="pt-BR"/>
              </w:rPr>
              <w:t>101,9%</w:t>
            </w:r>
          </w:p>
        </w:tc>
      </w:tr>
      <w:tr w:rsidR="00227AE1" w:rsidRPr="00393495" w14:paraId="550E35ED" w14:textId="77777777" w:rsidTr="00052435">
        <w:trPr>
          <w:trHeight w:val="238"/>
        </w:trPr>
        <w:tc>
          <w:tcPr>
            <w:tcW w:w="2499" w:type="pct"/>
            <w:tcBorders>
              <w:top w:val="nil"/>
              <w:left w:val="nil"/>
              <w:bottom w:val="single" w:sz="8" w:space="0" w:color="9BC2E6"/>
              <w:right w:val="nil"/>
            </w:tcBorders>
            <w:shd w:val="clear" w:color="auto" w:fill="auto"/>
            <w:noWrap/>
            <w:vAlign w:val="center"/>
            <w:hideMark/>
          </w:tcPr>
          <w:p w14:paraId="33D79C57" w14:textId="77777777" w:rsidR="00227AE1" w:rsidRPr="00087F48" w:rsidRDefault="00227AE1" w:rsidP="00227AE1">
            <w:pPr>
              <w:tabs>
                <w:tab w:val="clear" w:pos="851"/>
              </w:tabs>
              <w:spacing w:before="0" w:after="0" w:line="240" w:lineRule="auto"/>
              <w:jc w:val="left"/>
              <w:rPr>
                <w:rFonts w:ascii="Arial" w:hAnsi="Arial" w:cs="Arial"/>
                <w:b/>
                <w:bCs/>
                <w:color w:val="000000"/>
                <w:sz w:val="16"/>
                <w:szCs w:val="17"/>
                <w:lang w:eastAsia="pt-BR"/>
              </w:rPr>
            </w:pPr>
            <w:r w:rsidRPr="00087F48">
              <w:rPr>
                <w:rFonts w:ascii="Arial" w:hAnsi="Arial" w:cs="Arial"/>
                <w:b/>
                <w:bCs/>
                <w:color w:val="000000"/>
                <w:sz w:val="16"/>
                <w:szCs w:val="17"/>
                <w:lang w:eastAsia="pt-BR"/>
              </w:rPr>
              <w:t>Resultado Financeiro</w:t>
            </w:r>
          </w:p>
        </w:tc>
        <w:tc>
          <w:tcPr>
            <w:tcW w:w="507" w:type="pct"/>
            <w:tcBorders>
              <w:top w:val="nil"/>
              <w:left w:val="nil"/>
              <w:bottom w:val="single" w:sz="8" w:space="0" w:color="9BC2E6"/>
              <w:right w:val="nil"/>
            </w:tcBorders>
            <w:shd w:val="clear" w:color="auto" w:fill="auto"/>
            <w:noWrap/>
            <w:vAlign w:val="center"/>
            <w:hideMark/>
          </w:tcPr>
          <w:p w14:paraId="71958015"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7"/>
                <w:lang w:eastAsia="pt-BR"/>
              </w:rPr>
            </w:pPr>
            <w:r w:rsidRPr="00087F48">
              <w:rPr>
                <w:rFonts w:ascii="Arial" w:hAnsi="Arial" w:cs="Arial"/>
                <w:b/>
                <w:bCs/>
                <w:color w:val="000000"/>
                <w:sz w:val="16"/>
                <w:szCs w:val="17"/>
                <w:lang w:eastAsia="pt-BR"/>
              </w:rPr>
              <w:t xml:space="preserve">   (59.950)</w:t>
            </w:r>
          </w:p>
        </w:tc>
        <w:tc>
          <w:tcPr>
            <w:tcW w:w="507" w:type="pct"/>
            <w:tcBorders>
              <w:top w:val="nil"/>
              <w:left w:val="nil"/>
              <w:bottom w:val="single" w:sz="8" w:space="0" w:color="9BC2E6"/>
              <w:right w:val="nil"/>
            </w:tcBorders>
            <w:shd w:val="clear" w:color="auto" w:fill="auto"/>
            <w:noWrap/>
            <w:vAlign w:val="center"/>
            <w:hideMark/>
          </w:tcPr>
          <w:p w14:paraId="0F5F949A"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7"/>
                <w:lang w:eastAsia="pt-BR"/>
              </w:rPr>
            </w:pPr>
            <w:r w:rsidRPr="00087F48">
              <w:rPr>
                <w:rFonts w:ascii="Arial" w:hAnsi="Arial" w:cs="Arial"/>
                <w:b/>
                <w:bCs/>
                <w:color w:val="000000"/>
                <w:sz w:val="16"/>
                <w:szCs w:val="17"/>
                <w:lang w:eastAsia="pt-BR"/>
              </w:rPr>
              <w:t xml:space="preserve"> (100.148)</w:t>
            </w:r>
          </w:p>
        </w:tc>
        <w:tc>
          <w:tcPr>
            <w:tcW w:w="507" w:type="pct"/>
            <w:tcBorders>
              <w:top w:val="nil"/>
              <w:left w:val="nil"/>
              <w:bottom w:val="single" w:sz="8" w:space="0" w:color="9BC2E6"/>
              <w:right w:val="nil"/>
            </w:tcBorders>
            <w:shd w:val="clear" w:color="auto" w:fill="auto"/>
            <w:noWrap/>
            <w:vAlign w:val="center"/>
            <w:hideMark/>
          </w:tcPr>
          <w:p w14:paraId="60D48BDE"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7"/>
                <w:lang w:eastAsia="pt-BR"/>
              </w:rPr>
            </w:pPr>
            <w:r w:rsidRPr="00087F48">
              <w:rPr>
                <w:rFonts w:ascii="Arial" w:hAnsi="Arial" w:cs="Arial"/>
                <w:b/>
                <w:bCs/>
                <w:color w:val="000000"/>
                <w:sz w:val="16"/>
                <w:szCs w:val="17"/>
                <w:lang w:eastAsia="pt-BR"/>
              </w:rPr>
              <w:t xml:space="preserve">   (62.282)</w:t>
            </w:r>
          </w:p>
        </w:tc>
        <w:tc>
          <w:tcPr>
            <w:tcW w:w="490" w:type="pct"/>
            <w:tcBorders>
              <w:top w:val="nil"/>
              <w:left w:val="nil"/>
              <w:bottom w:val="single" w:sz="8" w:space="0" w:color="9BC2E6"/>
              <w:right w:val="nil"/>
            </w:tcBorders>
            <w:shd w:val="clear" w:color="auto" w:fill="auto"/>
            <w:noWrap/>
            <w:vAlign w:val="center"/>
            <w:hideMark/>
          </w:tcPr>
          <w:p w14:paraId="5506BF21"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7"/>
                <w:lang w:eastAsia="pt-BR"/>
              </w:rPr>
            </w:pPr>
            <w:r w:rsidRPr="00087F48">
              <w:rPr>
                <w:rFonts w:ascii="Arial" w:hAnsi="Arial" w:cs="Arial"/>
                <w:b/>
                <w:bCs/>
                <w:color w:val="000000"/>
                <w:sz w:val="16"/>
                <w:szCs w:val="17"/>
                <w:lang w:eastAsia="pt-BR"/>
              </w:rPr>
              <w:t>-40,1%</w:t>
            </w:r>
          </w:p>
        </w:tc>
        <w:tc>
          <w:tcPr>
            <w:tcW w:w="490" w:type="pct"/>
            <w:tcBorders>
              <w:top w:val="nil"/>
              <w:left w:val="nil"/>
              <w:bottom w:val="single" w:sz="8" w:space="0" w:color="9BC2E6"/>
              <w:right w:val="nil"/>
            </w:tcBorders>
            <w:shd w:val="clear" w:color="auto" w:fill="auto"/>
            <w:noWrap/>
            <w:vAlign w:val="center"/>
            <w:hideMark/>
          </w:tcPr>
          <w:p w14:paraId="7EDF3C03" w14:textId="77777777" w:rsidR="00227AE1" w:rsidRPr="00087F48" w:rsidRDefault="00227AE1" w:rsidP="00227AE1">
            <w:pPr>
              <w:tabs>
                <w:tab w:val="clear" w:pos="851"/>
              </w:tabs>
              <w:spacing w:before="0" w:after="0" w:line="240" w:lineRule="auto"/>
              <w:jc w:val="right"/>
              <w:rPr>
                <w:rFonts w:ascii="Arial" w:hAnsi="Arial" w:cs="Arial"/>
                <w:b/>
                <w:bCs/>
                <w:color w:val="000000"/>
                <w:sz w:val="16"/>
                <w:szCs w:val="17"/>
                <w:lang w:eastAsia="pt-BR"/>
              </w:rPr>
            </w:pPr>
            <w:r w:rsidRPr="00087F48">
              <w:rPr>
                <w:rFonts w:ascii="Arial" w:hAnsi="Arial" w:cs="Arial"/>
                <w:b/>
                <w:bCs/>
                <w:color w:val="000000"/>
                <w:sz w:val="16"/>
                <w:szCs w:val="17"/>
                <w:lang w:eastAsia="pt-BR"/>
              </w:rPr>
              <w:t>-3,7%</w:t>
            </w:r>
          </w:p>
        </w:tc>
      </w:tr>
    </w:tbl>
    <w:p w14:paraId="3819C7D8" w14:textId="77777777" w:rsidR="003E0246" w:rsidRPr="00087F48" w:rsidRDefault="003E0246">
      <w:pPr>
        <w:spacing w:after="0" w:line="240" w:lineRule="auto"/>
        <w:rPr>
          <w:rFonts w:eastAsia="Calibri"/>
          <w:sz w:val="22"/>
        </w:rPr>
      </w:pPr>
      <w:bookmarkStart w:id="19" w:name="_Hlk364801"/>
      <w:r w:rsidRPr="00087F48">
        <w:rPr>
          <w:rFonts w:eastAsia="Calibri"/>
          <w:sz w:val="22"/>
        </w:rPr>
        <w:t>No exercício de 2023, o resultado financeiro foi negativo no valor de R$ 60,0 milhões (R$ 100,1 milhões em 2022 e R$ 62,3 milhões em 2021), redução de 40,1% na comparação com o ano de 2022 e de 3,7% em relação ao ano de 2021. As principais rubricas do resultado financeiro apresentaram os seguintes comportamentos:</w:t>
      </w:r>
    </w:p>
    <w:p w14:paraId="3A427A69" w14:textId="77777777" w:rsidR="003E0246" w:rsidRPr="003E0246" w:rsidRDefault="003E0246">
      <w:pPr>
        <w:spacing w:after="0" w:line="240" w:lineRule="auto"/>
        <w:rPr>
          <w:rFonts w:eastAsia="Arial"/>
          <w:sz w:val="22"/>
        </w:rPr>
      </w:pPr>
      <w:r w:rsidRPr="003E0246">
        <w:rPr>
          <w:rFonts w:eastAsia="Arial"/>
          <w:b/>
          <w:bCs/>
          <w:sz w:val="22"/>
        </w:rPr>
        <w:t>i) Juros sobre Aplicações Financeiras:</w:t>
      </w:r>
      <w:r w:rsidRPr="003E0246">
        <w:rPr>
          <w:rFonts w:eastAsia="Arial"/>
          <w:sz w:val="22"/>
        </w:rPr>
        <w:t xml:space="preserve">  O comportamento é reflexo da rentabilidade dos fundos nos exercícios apresentados e pelo aumento de recursos disponíveis para aplicações.</w:t>
      </w:r>
    </w:p>
    <w:p w14:paraId="09CB8DAC" w14:textId="71A59BE5" w:rsidR="003E0246" w:rsidRPr="003E0246" w:rsidRDefault="003E0246">
      <w:pPr>
        <w:spacing w:after="0" w:line="240" w:lineRule="auto"/>
        <w:rPr>
          <w:rFonts w:eastAsia="Arial"/>
          <w:sz w:val="22"/>
        </w:rPr>
      </w:pPr>
      <w:proofErr w:type="spellStart"/>
      <w:r w:rsidRPr="003E0246">
        <w:rPr>
          <w:rFonts w:eastAsia="Arial"/>
          <w:b/>
          <w:bCs/>
          <w:sz w:val="22"/>
        </w:rPr>
        <w:t>ii</w:t>
      </w:r>
      <w:proofErr w:type="spellEnd"/>
      <w:r w:rsidRPr="003E0246">
        <w:rPr>
          <w:rFonts w:eastAsia="Arial"/>
          <w:b/>
          <w:bCs/>
          <w:sz w:val="22"/>
        </w:rPr>
        <w:t>) Juros sobre Superávit – Previdência Privada:</w:t>
      </w:r>
      <w:r w:rsidRPr="003E0246">
        <w:rPr>
          <w:rFonts w:eastAsia="Arial"/>
          <w:sz w:val="22"/>
        </w:rPr>
        <w:t xml:space="preserve">  A rubrica apresentou redução de 65,2% e 91,7% na comparação entre o ano de 2023 e os anos 2022 e 2021, respectivamente. A diminuição é explicada pela redução do saldo a receber em razão dos recebimento</w:t>
      </w:r>
      <w:r w:rsidR="00393495">
        <w:rPr>
          <w:rFonts w:eastAsia="Arial"/>
          <w:sz w:val="22"/>
        </w:rPr>
        <w:t>s</w:t>
      </w:r>
      <w:r w:rsidRPr="003E0246">
        <w:rPr>
          <w:rFonts w:eastAsia="Arial"/>
          <w:sz w:val="22"/>
        </w:rPr>
        <w:t xml:space="preserve"> das parcelas mensais pagas pela </w:t>
      </w:r>
      <w:r w:rsidR="00393495" w:rsidRPr="003E0246">
        <w:rPr>
          <w:rFonts w:eastAsia="Arial"/>
          <w:sz w:val="22"/>
        </w:rPr>
        <w:t>administradora</w:t>
      </w:r>
      <w:r w:rsidRPr="003E0246">
        <w:rPr>
          <w:rFonts w:eastAsia="Arial"/>
          <w:sz w:val="22"/>
        </w:rPr>
        <w:t xml:space="preserve"> dos planos (SISTEL).</w:t>
      </w:r>
    </w:p>
    <w:p w14:paraId="59F80E6F" w14:textId="77777777" w:rsidR="003E0246" w:rsidRPr="003E0246" w:rsidRDefault="003E0246">
      <w:pPr>
        <w:spacing w:after="0" w:line="240" w:lineRule="auto"/>
        <w:rPr>
          <w:rFonts w:eastAsia="Arial"/>
          <w:sz w:val="22"/>
        </w:rPr>
      </w:pPr>
      <w:proofErr w:type="spellStart"/>
      <w:r w:rsidRPr="003E0246">
        <w:rPr>
          <w:rFonts w:eastAsia="Arial"/>
          <w:b/>
          <w:bCs/>
          <w:sz w:val="22"/>
        </w:rPr>
        <w:t>iii</w:t>
      </w:r>
      <w:proofErr w:type="spellEnd"/>
      <w:r w:rsidRPr="003E0246">
        <w:rPr>
          <w:rFonts w:eastAsia="Arial"/>
          <w:b/>
          <w:bCs/>
          <w:sz w:val="22"/>
        </w:rPr>
        <w:t>) Juros sobre Adiantamentos para Futuro Aumento de Capital:</w:t>
      </w:r>
      <w:r w:rsidRPr="003E0246">
        <w:rPr>
          <w:rFonts w:eastAsia="Arial"/>
          <w:sz w:val="22"/>
        </w:rPr>
        <w:t xml:space="preserve"> O aumento de 6,8% e 186,1% na comparação entre o ano de 2023 e os anos de 2022 e 2021 é explicado basicamente pela variação da taxa SELIC sobre os aportes recebidos do controlador (a União). </w:t>
      </w:r>
    </w:p>
    <w:p w14:paraId="0E529B09" w14:textId="6E5E22DF" w:rsidR="00247165" w:rsidRDefault="003E0246">
      <w:pPr>
        <w:spacing w:after="0" w:line="240" w:lineRule="auto"/>
        <w:rPr>
          <w:rFonts w:eastAsia="Arial"/>
          <w:sz w:val="22"/>
        </w:rPr>
      </w:pPr>
      <w:proofErr w:type="spellStart"/>
      <w:r w:rsidRPr="003E0246">
        <w:rPr>
          <w:rFonts w:eastAsia="Arial"/>
          <w:sz w:val="22"/>
        </w:rPr>
        <w:t>iv</w:t>
      </w:r>
      <w:proofErr w:type="spellEnd"/>
      <w:r w:rsidRPr="003E0246">
        <w:rPr>
          <w:rFonts w:eastAsia="Arial"/>
          <w:sz w:val="22"/>
        </w:rPr>
        <w:t xml:space="preserve">) </w:t>
      </w:r>
      <w:r w:rsidRPr="003E0246">
        <w:rPr>
          <w:rFonts w:eastAsia="Arial"/>
          <w:b/>
          <w:sz w:val="22"/>
        </w:rPr>
        <w:t>Juros e Variação Monetária de Acordos Judiciais:</w:t>
      </w:r>
      <w:r w:rsidRPr="003E0246">
        <w:rPr>
          <w:rFonts w:eastAsia="Arial"/>
          <w:sz w:val="22"/>
        </w:rPr>
        <w:t xml:space="preserve"> A redução de 26,0% e 47,2%, respectivamente, em relação aos anos de 2022 e 2021, é explicada pela amortização da dívida e pela queda dos níveis inflacionários entre os períodos comparados. Os credores dessa dívida são a FUNCEF e a PREV.</w:t>
      </w:r>
    </w:p>
    <w:p w14:paraId="2C6CC823" w14:textId="77777777" w:rsidR="00247165" w:rsidRDefault="00247165">
      <w:pPr>
        <w:tabs>
          <w:tab w:val="clear" w:pos="851"/>
        </w:tabs>
        <w:spacing w:before="0" w:after="0" w:line="240" w:lineRule="auto"/>
        <w:jc w:val="left"/>
        <w:rPr>
          <w:rFonts w:eastAsia="Arial"/>
          <w:sz w:val="22"/>
        </w:rPr>
      </w:pPr>
      <w:r>
        <w:rPr>
          <w:rFonts w:eastAsia="Arial"/>
          <w:sz w:val="22"/>
        </w:rPr>
        <w:br w:type="page"/>
      </w:r>
    </w:p>
    <w:p w14:paraId="0555EEF0" w14:textId="02B2D064" w:rsidR="003E0246" w:rsidRDefault="003E0246" w:rsidP="00087F48">
      <w:pPr>
        <w:pStyle w:val="Ttulo3"/>
        <w:ind w:left="709" w:hanging="709"/>
      </w:pPr>
      <w:bookmarkStart w:id="20" w:name="_Toc161319439"/>
      <w:bookmarkEnd w:id="19"/>
      <w:r w:rsidRPr="00087F48">
        <w:lastRenderedPageBreak/>
        <w:t>Prejuízo Líquido do Exercício Ajustado</w:t>
      </w:r>
      <w:bookmarkEnd w:id="20"/>
      <w:r w:rsidRPr="00087F48">
        <w:t xml:space="preserve"> </w:t>
      </w:r>
    </w:p>
    <w:tbl>
      <w:tblPr>
        <w:tblW w:w="5000" w:type="pct"/>
        <w:tblCellMar>
          <w:left w:w="70" w:type="dxa"/>
          <w:right w:w="70" w:type="dxa"/>
        </w:tblCellMar>
        <w:tblLook w:val="04A0" w:firstRow="1" w:lastRow="0" w:firstColumn="1" w:lastColumn="0" w:noHBand="0" w:noVBand="1"/>
      </w:tblPr>
      <w:tblGrid>
        <w:gridCol w:w="4259"/>
        <w:gridCol w:w="994"/>
        <w:gridCol w:w="994"/>
        <w:gridCol w:w="994"/>
        <w:gridCol w:w="915"/>
        <w:gridCol w:w="916"/>
      </w:tblGrid>
      <w:tr w:rsidR="009323E1" w:rsidRPr="009323E1" w14:paraId="16372D02" w14:textId="77777777" w:rsidTr="004E1C02">
        <w:trPr>
          <w:trHeight w:val="238"/>
        </w:trPr>
        <w:tc>
          <w:tcPr>
            <w:tcW w:w="2368" w:type="pct"/>
            <w:tcBorders>
              <w:top w:val="single" w:sz="8" w:space="0" w:color="8EA9DB"/>
              <w:left w:val="nil"/>
              <w:bottom w:val="single" w:sz="8" w:space="0" w:color="8EA9DB"/>
              <w:right w:val="nil"/>
            </w:tcBorders>
            <w:shd w:val="clear" w:color="auto" w:fill="auto"/>
            <w:noWrap/>
            <w:vAlign w:val="center"/>
            <w:hideMark/>
          </w:tcPr>
          <w:p w14:paraId="44760B6B" w14:textId="77777777" w:rsidR="009323E1" w:rsidRPr="003B40B6" w:rsidRDefault="009323E1" w:rsidP="009323E1">
            <w:pPr>
              <w:tabs>
                <w:tab w:val="clear" w:pos="851"/>
              </w:tabs>
              <w:spacing w:before="0" w:after="0" w:line="240" w:lineRule="auto"/>
              <w:jc w:val="left"/>
              <w:rPr>
                <w:rFonts w:ascii="Arial" w:hAnsi="Arial" w:cs="Arial"/>
                <w:b/>
                <w:bCs/>
                <w:color w:val="2F75B5"/>
                <w:sz w:val="16"/>
                <w:szCs w:val="18"/>
                <w:lang w:eastAsia="pt-BR"/>
              </w:rPr>
            </w:pPr>
            <w:r w:rsidRPr="003B40B6">
              <w:rPr>
                <w:rFonts w:ascii="Arial" w:hAnsi="Arial" w:cs="Arial"/>
                <w:b/>
                <w:bCs/>
                <w:color w:val="2F75B5"/>
                <w:sz w:val="16"/>
                <w:szCs w:val="18"/>
                <w:lang w:eastAsia="pt-BR"/>
              </w:rPr>
              <w:t>R$ mil</w:t>
            </w:r>
          </w:p>
        </w:tc>
        <w:tc>
          <w:tcPr>
            <w:tcW w:w="526" w:type="pct"/>
            <w:tcBorders>
              <w:top w:val="single" w:sz="8" w:space="0" w:color="8EA9DB"/>
              <w:left w:val="nil"/>
              <w:bottom w:val="single" w:sz="8" w:space="0" w:color="8EA9DB"/>
              <w:right w:val="nil"/>
            </w:tcBorders>
            <w:shd w:val="clear" w:color="000000" w:fill="FFFFFF"/>
            <w:noWrap/>
            <w:vAlign w:val="center"/>
            <w:hideMark/>
          </w:tcPr>
          <w:p w14:paraId="7FA0DC9D" w14:textId="77777777" w:rsidR="009323E1" w:rsidRPr="003B40B6" w:rsidRDefault="009323E1" w:rsidP="009323E1">
            <w:pPr>
              <w:tabs>
                <w:tab w:val="clear" w:pos="851"/>
              </w:tabs>
              <w:spacing w:before="0" w:after="0" w:line="240" w:lineRule="auto"/>
              <w:jc w:val="center"/>
              <w:rPr>
                <w:rFonts w:ascii="Arial" w:hAnsi="Arial" w:cs="Arial"/>
                <w:b/>
                <w:bCs/>
                <w:color w:val="2F75B5"/>
                <w:sz w:val="16"/>
                <w:szCs w:val="18"/>
                <w:lang w:eastAsia="pt-BR"/>
              </w:rPr>
            </w:pPr>
            <w:r w:rsidRPr="003B40B6">
              <w:rPr>
                <w:rFonts w:ascii="Arial" w:hAnsi="Arial" w:cs="Arial"/>
                <w:b/>
                <w:bCs/>
                <w:color w:val="2F75B5"/>
                <w:sz w:val="16"/>
                <w:szCs w:val="18"/>
                <w:lang w:eastAsia="pt-BR"/>
              </w:rPr>
              <w:t>2023</w:t>
            </w:r>
          </w:p>
        </w:tc>
        <w:tc>
          <w:tcPr>
            <w:tcW w:w="526" w:type="pct"/>
            <w:tcBorders>
              <w:top w:val="single" w:sz="8" w:space="0" w:color="8EA9DB"/>
              <w:left w:val="nil"/>
              <w:bottom w:val="single" w:sz="8" w:space="0" w:color="8EA9DB"/>
              <w:right w:val="nil"/>
            </w:tcBorders>
            <w:shd w:val="clear" w:color="000000" w:fill="FFFFFF"/>
            <w:noWrap/>
            <w:vAlign w:val="center"/>
            <w:hideMark/>
          </w:tcPr>
          <w:p w14:paraId="593C5D95" w14:textId="77777777" w:rsidR="009323E1" w:rsidRPr="003B40B6" w:rsidRDefault="009323E1" w:rsidP="009323E1">
            <w:pPr>
              <w:tabs>
                <w:tab w:val="clear" w:pos="851"/>
              </w:tabs>
              <w:spacing w:before="0" w:after="0" w:line="240" w:lineRule="auto"/>
              <w:jc w:val="center"/>
              <w:rPr>
                <w:rFonts w:ascii="Arial" w:hAnsi="Arial" w:cs="Arial"/>
                <w:b/>
                <w:bCs/>
                <w:color w:val="2F75B5"/>
                <w:sz w:val="16"/>
                <w:szCs w:val="18"/>
                <w:lang w:eastAsia="pt-BR"/>
              </w:rPr>
            </w:pPr>
            <w:r w:rsidRPr="003B40B6">
              <w:rPr>
                <w:rFonts w:ascii="Arial" w:hAnsi="Arial" w:cs="Arial"/>
                <w:b/>
                <w:bCs/>
                <w:color w:val="2F75B5"/>
                <w:sz w:val="16"/>
                <w:szCs w:val="18"/>
                <w:lang w:eastAsia="pt-BR"/>
              </w:rPr>
              <w:t>2022</w:t>
            </w:r>
          </w:p>
        </w:tc>
        <w:tc>
          <w:tcPr>
            <w:tcW w:w="526" w:type="pct"/>
            <w:tcBorders>
              <w:top w:val="single" w:sz="8" w:space="0" w:color="8EA9DB"/>
              <w:left w:val="nil"/>
              <w:bottom w:val="single" w:sz="8" w:space="0" w:color="8EA9DB"/>
              <w:right w:val="nil"/>
            </w:tcBorders>
            <w:shd w:val="clear" w:color="000000" w:fill="FFFFFF"/>
            <w:noWrap/>
            <w:vAlign w:val="center"/>
            <w:hideMark/>
          </w:tcPr>
          <w:p w14:paraId="7BDF025B" w14:textId="77777777" w:rsidR="009323E1" w:rsidRPr="003B40B6" w:rsidRDefault="009323E1" w:rsidP="009323E1">
            <w:pPr>
              <w:tabs>
                <w:tab w:val="clear" w:pos="851"/>
              </w:tabs>
              <w:spacing w:before="0" w:after="0" w:line="240" w:lineRule="auto"/>
              <w:jc w:val="center"/>
              <w:rPr>
                <w:rFonts w:ascii="Arial" w:hAnsi="Arial" w:cs="Arial"/>
                <w:b/>
                <w:bCs/>
                <w:color w:val="2F75B5"/>
                <w:sz w:val="16"/>
                <w:szCs w:val="18"/>
                <w:lang w:eastAsia="pt-BR"/>
              </w:rPr>
            </w:pPr>
            <w:r w:rsidRPr="003B40B6">
              <w:rPr>
                <w:rFonts w:ascii="Arial" w:hAnsi="Arial" w:cs="Arial"/>
                <w:b/>
                <w:bCs/>
                <w:color w:val="2F75B5"/>
                <w:sz w:val="16"/>
                <w:szCs w:val="18"/>
                <w:lang w:eastAsia="pt-BR"/>
              </w:rPr>
              <w:t>2021</w:t>
            </w:r>
          </w:p>
        </w:tc>
        <w:tc>
          <w:tcPr>
            <w:tcW w:w="526" w:type="pct"/>
            <w:tcBorders>
              <w:top w:val="single" w:sz="8" w:space="0" w:color="9BC2E6"/>
              <w:left w:val="nil"/>
              <w:bottom w:val="single" w:sz="8" w:space="0" w:color="9BC2E6"/>
              <w:right w:val="nil"/>
            </w:tcBorders>
            <w:shd w:val="clear" w:color="000000" w:fill="FFFFFF"/>
            <w:vAlign w:val="center"/>
            <w:hideMark/>
          </w:tcPr>
          <w:p w14:paraId="356A461C" w14:textId="77777777" w:rsidR="009323E1" w:rsidRPr="003B40B6" w:rsidRDefault="009323E1" w:rsidP="009323E1">
            <w:pPr>
              <w:tabs>
                <w:tab w:val="clear" w:pos="851"/>
              </w:tabs>
              <w:spacing w:before="0" w:after="0" w:line="240" w:lineRule="auto"/>
              <w:jc w:val="center"/>
              <w:rPr>
                <w:rFonts w:ascii="Arial" w:hAnsi="Arial" w:cs="Arial"/>
                <w:b/>
                <w:bCs/>
                <w:color w:val="2F75B5"/>
                <w:sz w:val="16"/>
                <w:szCs w:val="18"/>
                <w:lang w:eastAsia="pt-BR"/>
              </w:rPr>
            </w:pPr>
            <w:r w:rsidRPr="003B40B6">
              <w:rPr>
                <w:rFonts w:ascii="Arial" w:hAnsi="Arial" w:cs="Arial"/>
                <w:b/>
                <w:bCs/>
                <w:color w:val="2F75B5"/>
                <w:sz w:val="16"/>
                <w:szCs w:val="18"/>
                <w:lang w:eastAsia="pt-BR"/>
              </w:rPr>
              <w:t>Δ 2023 X 2022</w:t>
            </w:r>
          </w:p>
        </w:tc>
        <w:tc>
          <w:tcPr>
            <w:tcW w:w="526" w:type="pct"/>
            <w:tcBorders>
              <w:top w:val="single" w:sz="8" w:space="0" w:color="9BC2E6"/>
              <w:left w:val="nil"/>
              <w:bottom w:val="single" w:sz="8" w:space="0" w:color="9BC2E6"/>
              <w:right w:val="nil"/>
            </w:tcBorders>
            <w:shd w:val="clear" w:color="000000" w:fill="FFFFFF"/>
            <w:vAlign w:val="center"/>
            <w:hideMark/>
          </w:tcPr>
          <w:p w14:paraId="49106D1F" w14:textId="77777777" w:rsidR="009323E1" w:rsidRPr="003B40B6" w:rsidRDefault="009323E1" w:rsidP="009323E1">
            <w:pPr>
              <w:tabs>
                <w:tab w:val="clear" w:pos="851"/>
              </w:tabs>
              <w:spacing w:before="0" w:after="0" w:line="240" w:lineRule="auto"/>
              <w:jc w:val="center"/>
              <w:rPr>
                <w:rFonts w:ascii="Arial" w:hAnsi="Arial" w:cs="Arial"/>
                <w:b/>
                <w:bCs/>
                <w:color w:val="2F75B5"/>
                <w:sz w:val="16"/>
                <w:szCs w:val="18"/>
                <w:lang w:eastAsia="pt-BR"/>
              </w:rPr>
            </w:pPr>
            <w:r w:rsidRPr="003B40B6">
              <w:rPr>
                <w:rFonts w:ascii="Arial" w:hAnsi="Arial" w:cs="Arial"/>
                <w:b/>
                <w:bCs/>
                <w:color w:val="2F75B5"/>
                <w:sz w:val="16"/>
                <w:szCs w:val="18"/>
                <w:lang w:eastAsia="pt-BR"/>
              </w:rPr>
              <w:t>Δ 2023 X 2021</w:t>
            </w:r>
          </w:p>
        </w:tc>
      </w:tr>
      <w:tr w:rsidR="009323E1" w:rsidRPr="009323E1" w14:paraId="0E8776DF" w14:textId="77777777" w:rsidTr="004E1C02">
        <w:trPr>
          <w:trHeight w:val="238"/>
        </w:trPr>
        <w:tc>
          <w:tcPr>
            <w:tcW w:w="2368" w:type="pct"/>
            <w:tcBorders>
              <w:top w:val="nil"/>
              <w:left w:val="nil"/>
              <w:bottom w:val="nil"/>
              <w:right w:val="nil"/>
            </w:tcBorders>
            <w:shd w:val="clear" w:color="auto" w:fill="auto"/>
            <w:noWrap/>
            <w:vAlign w:val="center"/>
            <w:hideMark/>
          </w:tcPr>
          <w:p w14:paraId="5DC66B09" w14:textId="77777777" w:rsidR="009323E1" w:rsidRPr="003B40B6" w:rsidRDefault="009323E1" w:rsidP="009323E1">
            <w:pPr>
              <w:tabs>
                <w:tab w:val="clear" w:pos="851"/>
              </w:tabs>
              <w:spacing w:before="0" w:after="0" w:line="240" w:lineRule="auto"/>
              <w:jc w:val="left"/>
              <w:rPr>
                <w:rFonts w:ascii="Arial" w:hAnsi="Arial" w:cs="Arial"/>
                <w:b/>
                <w:bCs/>
                <w:color w:val="000000"/>
                <w:sz w:val="16"/>
                <w:szCs w:val="18"/>
                <w:lang w:eastAsia="pt-BR"/>
              </w:rPr>
            </w:pPr>
            <w:r w:rsidRPr="003B40B6">
              <w:rPr>
                <w:rFonts w:ascii="Arial" w:hAnsi="Arial" w:cs="Arial"/>
                <w:b/>
                <w:bCs/>
                <w:color w:val="000000"/>
                <w:sz w:val="16"/>
                <w:szCs w:val="18"/>
                <w:lang w:eastAsia="pt-BR"/>
              </w:rPr>
              <w:t>Prejuízo Líquido do Exercício</w:t>
            </w:r>
          </w:p>
        </w:tc>
        <w:tc>
          <w:tcPr>
            <w:tcW w:w="526" w:type="pct"/>
            <w:tcBorders>
              <w:top w:val="nil"/>
              <w:left w:val="nil"/>
              <w:bottom w:val="nil"/>
              <w:right w:val="nil"/>
            </w:tcBorders>
            <w:shd w:val="clear" w:color="auto" w:fill="auto"/>
            <w:noWrap/>
            <w:vAlign w:val="center"/>
            <w:hideMark/>
          </w:tcPr>
          <w:p w14:paraId="200512C9" w14:textId="77777777" w:rsidR="009323E1" w:rsidRPr="003B40B6" w:rsidRDefault="009323E1" w:rsidP="009323E1">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(127.357)</w:t>
            </w:r>
          </w:p>
        </w:tc>
        <w:tc>
          <w:tcPr>
            <w:tcW w:w="526" w:type="pct"/>
            <w:tcBorders>
              <w:top w:val="nil"/>
              <w:left w:val="nil"/>
              <w:bottom w:val="nil"/>
              <w:right w:val="nil"/>
            </w:tcBorders>
            <w:shd w:val="clear" w:color="auto" w:fill="auto"/>
            <w:noWrap/>
            <w:vAlign w:val="center"/>
            <w:hideMark/>
          </w:tcPr>
          <w:p w14:paraId="7DAE6CAD" w14:textId="77777777" w:rsidR="009323E1" w:rsidRPr="003B40B6" w:rsidRDefault="009323E1" w:rsidP="009323E1">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(168.459)</w:t>
            </w:r>
          </w:p>
        </w:tc>
        <w:tc>
          <w:tcPr>
            <w:tcW w:w="526" w:type="pct"/>
            <w:tcBorders>
              <w:top w:val="nil"/>
              <w:left w:val="nil"/>
              <w:bottom w:val="nil"/>
              <w:right w:val="nil"/>
            </w:tcBorders>
            <w:shd w:val="clear" w:color="auto" w:fill="auto"/>
            <w:noWrap/>
            <w:vAlign w:val="center"/>
            <w:hideMark/>
          </w:tcPr>
          <w:p w14:paraId="278C29E0" w14:textId="77777777" w:rsidR="009323E1" w:rsidRPr="003B40B6" w:rsidRDefault="009323E1" w:rsidP="009323E1">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(163.013)</w:t>
            </w:r>
          </w:p>
        </w:tc>
        <w:tc>
          <w:tcPr>
            <w:tcW w:w="526" w:type="pct"/>
            <w:tcBorders>
              <w:top w:val="nil"/>
              <w:left w:val="nil"/>
              <w:bottom w:val="nil"/>
              <w:right w:val="nil"/>
            </w:tcBorders>
            <w:shd w:val="clear" w:color="auto" w:fill="auto"/>
            <w:noWrap/>
            <w:vAlign w:val="center"/>
            <w:hideMark/>
          </w:tcPr>
          <w:p w14:paraId="472F481F" w14:textId="77777777" w:rsidR="009323E1" w:rsidRPr="003B40B6" w:rsidRDefault="009323E1" w:rsidP="009323E1">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-24,4%</w:t>
            </w:r>
          </w:p>
        </w:tc>
        <w:tc>
          <w:tcPr>
            <w:tcW w:w="526" w:type="pct"/>
            <w:tcBorders>
              <w:top w:val="nil"/>
              <w:left w:val="nil"/>
              <w:bottom w:val="nil"/>
              <w:right w:val="nil"/>
            </w:tcBorders>
            <w:shd w:val="clear" w:color="auto" w:fill="auto"/>
            <w:noWrap/>
            <w:vAlign w:val="center"/>
            <w:hideMark/>
          </w:tcPr>
          <w:p w14:paraId="7BEEAD9E" w14:textId="77777777" w:rsidR="009323E1" w:rsidRPr="003B40B6" w:rsidRDefault="009323E1" w:rsidP="009323E1">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-21,9%</w:t>
            </w:r>
          </w:p>
        </w:tc>
      </w:tr>
      <w:tr w:rsidR="009323E1" w:rsidRPr="009323E1" w14:paraId="3CD0A458" w14:textId="77777777" w:rsidTr="004E1C02">
        <w:trPr>
          <w:trHeight w:val="238"/>
        </w:trPr>
        <w:tc>
          <w:tcPr>
            <w:tcW w:w="2368" w:type="pct"/>
            <w:tcBorders>
              <w:top w:val="nil"/>
              <w:left w:val="nil"/>
              <w:bottom w:val="nil"/>
              <w:right w:val="nil"/>
            </w:tcBorders>
            <w:shd w:val="clear" w:color="auto" w:fill="auto"/>
            <w:noWrap/>
            <w:vAlign w:val="center"/>
            <w:hideMark/>
          </w:tcPr>
          <w:p w14:paraId="7DE7EED9" w14:textId="77777777" w:rsidR="009323E1" w:rsidRPr="003B40B6" w:rsidRDefault="009323E1" w:rsidP="009323E1">
            <w:pPr>
              <w:tabs>
                <w:tab w:val="clear" w:pos="851"/>
              </w:tabs>
              <w:spacing w:before="0" w:after="0" w:line="240" w:lineRule="auto"/>
              <w:jc w:val="left"/>
              <w:rPr>
                <w:rFonts w:ascii="Arial" w:hAnsi="Arial" w:cs="Arial"/>
                <w:b/>
                <w:bCs/>
                <w:color w:val="000000"/>
                <w:sz w:val="16"/>
                <w:szCs w:val="18"/>
                <w:lang w:eastAsia="pt-BR"/>
              </w:rPr>
            </w:pPr>
            <w:r w:rsidRPr="003B40B6">
              <w:rPr>
                <w:rFonts w:ascii="Arial" w:hAnsi="Arial" w:cs="Arial"/>
                <w:b/>
                <w:bCs/>
                <w:color w:val="000000"/>
                <w:sz w:val="16"/>
                <w:szCs w:val="18"/>
                <w:lang w:eastAsia="pt-BR"/>
              </w:rPr>
              <w:t>Ajuste de Eventos Não Recorrentes:</w:t>
            </w:r>
          </w:p>
        </w:tc>
        <w:tc>
          <w:tcPr>
            <w:tcW w:w="526" w:type="pct"/>
            <w:tcBorders>
              <w:top w:val="nil"/>
              <w:left w:val="nil"/>
              <w:bottom w:val="nil"/>
              <w:right w:val="nil"/>
            </w:tcBorders>
            <w:shd w:val="clear" w:color="auto" w:fill="auto"/>
            <w:noWrap/>
            <w:vAlign w:val="center"/>
            <w:hideMark/>
          </w:tcPr>
          <w:p w14:paraId="45C2F09F" w14:textId="77777777" w:rsidR="009323E1" w:rsidRPr="003B40B6" w:rsidRDefault="009323E1" w:rsidP="009323E1">
            <w:pPr>
              <w:tabs>
                <w:tab w:val="clear" w:pos="851"/>
              </w:tabs>
              <w:spacing w:before="0" w:after="0" w:line="240" w:lineRule="auto"/>
              <w:jc w:val="left"/>
              <w:rPr>
                <w:rFonts w:ascii="Arial" w:hAnsi="Arial" w:cs="Arial"/>
                <w:b/>
                <w:bCs/>
                <w:color w:val="000000"/>
                <w:sz w:val="16"/>
                <w:szCs w:val="18"/>
                <w:lang w:eastAsia="pt-BR"/>
              </w:rPr>
            </w:pPr>
          </w:p>
        </w:tc>
        <w:tc>
          <w:tcPr>
            <w:tcW w:w="526" w:type="pct"/>
            <w:tcBorders>
              <w:top w:val="nil"/>
              <w:left w:val="nil"/>
              <w:bottom w:val="nil"/>
              <w:right w:val="nil"/>
            </w:tcBorders>
            <w:shd w:val="clear" w:color="auto" w:fill="auto"/>
            <w:noWrap/>
            <w:vAlign w:val="center"/>
            <w:hideMark/>
          </w:tcPr>
          <w:p w14:paraId="6295CBEA" w14:textId="77777777" w:rsidR="009323E1" w:rsidRPr="003B40B6" w:rsidRDefault="009323E1" w:rsidP="009323E1">
            <w:pPr>
              <w:tabs>
                <w:tab w:val="clear" w:pos="851"/>
              </w:tabs>
              <w:spacing w:before="0" w:after="0" w:line="240" w:lineRule="auto"/>
              <w:jc w:val="left"/>
              <w:rPr>
                <w:rFonts w:ascii="Times New Roman" w:hAnsi="Times New Roman"/>
                <w:color w:val="auto"/>
                <w:sz w:val="16"/>
                <w:szCs w:val="20"/>
                <w:lang w:eastAsia="pt-BR"/>
              </w:rPr>
            </w:pPr>
          </w:p>
        </w:tc>
        <w:tc>
          <w:tcPr>
            <w:tcW w:w="526" w:type="pct"/>
            <w:tcBorders>
              <w:top w:val="nil"/>
              <w:left w:val="nil"/>
              <w:bottom w:val="nil"/>
              <w:right w:val="nil"/>
            </w:tcBorders>
            <w:shd w:val="clear" w:color="auto" w:fill="auto"/>
            <w:noWrap/>
            <w:vAlign w:val="center"/>
            <w:hideMark/>
          </w:tcPr>
          <w:p w14:paraId="27BCCD24" w14:textId="77777777" w:rsidR="009323E1" w:rsidRPr="003B40B6" w:rsidRDefault="009323E1" w:rsidP="009323E1">
            <w:pPr>
              <w:tabs>
                <w:tab w:val="clear" w:pos="851"/>
              </w:tabs>
              <w:spacing w:before="0" w:after="0" w:line="240" w:lineRule="auto"/>
              <w:jc w:val="left"/>
              <w:rPr>
                <w:rFonts w:ascii="Times New Roman" w:hAnsi="Times New Roman"/>
                <w:color w:val="auto"/>
                <w:sz w:val="16"/>
                <w:szCs w:val="20"/>
                <w:lang w:eastAsia="pt-BR"/>
              </w:rPr>
            </w:pPr>
          </w:p>
        </w:tc>
        <w:tc>
          <w:tcPr>
            <w:tcW w:w="526" w:type="pct"/>
            <w:tcBorders>
              <w:top w:val="nil"/>
              <w:left w:val="nil"/>
              <w:bottom w:val="nil"/>
              <w:right w:val="nil"/>
            </w:tcBorders>
            <w:shd w:val="clear" w:color="auto" w:fill="auto"/>
            <w:noWrap/>
            <w:vAlign w:val="center"/>
            <w:hideMark/>
          </w:tcPr>
          <w:p w14:paraId="11169E98" w14:textId="77777777" w:rsidR="009323E1" w:rsidRPr="003B40B6" w:rsidRDefault="009323E1" w:rsidP="009323E1">
            <w:pPr>
              <w:tabs>
                <w:tab w:val="clear" w:pos="851"/>
              </w:tabs>
              <w:spacing w:before="0" w:after="0" w:line="240" w:lineRule="auto"/>
              <w:jc w:val="left"/>
              <w:rPr>
                <w:rFonts w:ascii="Times New Roman" w:hAnsi="Times New Roman"/>
                <w:color w:val="auto"/>
                <w:sz w:val="16"/>
                <w:szCs w:val="20"/>
                <w:lang w:eastAsia="pt-BR"/>
              </w:rPr>
            </w:pPr>
          </w:p>
        </w:tc>
        <w:tc>
          <w:tcPr>
            <w:tcW w:w="526" w:type="pct"/>
            <w:tcBorders>
              <w:top w:val="nil"/>
              <w:left w:val="nil"/>
              <w:bottom w:val="nil"/>
              <w:right w:val="nil"/>
            </w:tcBorders>
            <w:shd w:val="clear" w:color="auto" w:fill="auto"/>
            <w:noWrap/>
            <w:vAlign w:val="center"/>
            <w:hideMark/>
          </w:tcPr>
          <w:p w14:paraId="2BCEEFC2" w14:textId="77777777" w:rsidR="009323E1" w:rsidRPr="003B40B6" w:rsidRDefault="009323E1" w:rsidP="009323E1">
            <w:pPr>
              <w:tabs>
                <w:tab w:val="clear" w:pos="851"/>
              </w:tabs>
              <w:spacing w:before="0" w:after="0" w:line="240" w:lineRule="auto"/>
              <w:jc w:val="left"/>
              <w:rPr>
                <w:rFonts w:ascii="Times New Roman" w:hAnsi="Times New Roman"/>
                <w:color w:val="auto"/>
                <w:sz w:val="16"/>
                <w:szCs w:val="20"/>
                <w:lang w:eastAsia="pt-BR"/>
              </w:rPr>
            </w:pPr>
          </w:p>
        </w:tc>
      </w:tr>
      <w:tr w:rsidR="009323E1" w:rsidRPr="009323E1" w14:paraId="43D51BA0" w14:textId="77777777" w:rsidTr="004E1C02">
        <w:trPr>
          <w:trHeight w:val="238"/>
        </w:trPr>
        <w:tc>
          <w:tcPr>
            <w:tcW w:w="2368" w:type="pct"/>
            <w:tcBorders>
              <w:top w:val="nil"/>
              <w:left w:val="nil"/>
              <w:bottom w:val="nil"/>
              <w:right w:val="nil"/>
            </w:tcBorders>
            <w:shd w:val="clear" w:color="auto" w:fill="auto"/>
            <w:noWrap/>
            <w:vAlign w:val="center"/>
            <w:hideMark/>
          </w:tcPr>
          <w:p w14:paraId="2B3D86A8" w14:textId="77777777" w:rsidR="009323E1" w:rsidRPr="003B40B6" w:rsidRDefault="009323E1" w:rsidP="009323E1">
            <w:pPr>
              <w:tabs>
                <w:tab w:val="clear" w:pos="851"/>
              </w:tabs>
              <w:spacing w:before="0" w:after="0" w:line="240" w:lineRule="auto"/>
              <w:jc w:val="left"/>
              <w:rPr>
                <w:rFonts w:ascii="Arial" w:hAnsi="Arial" w:cs="Arial"/>
                <w:color w:val="000000"/>
                <w:sz w:val="16"/>
                <w:szCs w:val="18"/>
                <w:lang w:eastAsia="pt-BR"/>
              </w:rPr>
            </w:pPr>
            <w:r w:rsidRPr="003B40B6">
              <w:rPr>
                <w:rFonts w:ascii="Arial" w:hAnsi="Arial" w:cs="Arial"/>
                <w:color w:val="000000"/>
                <w:sz w:val="16"/>
                <w:szCs w:val="18"/>
                <w:lang w:eastAsia="pt-BR"/>
              </w:rPr>
              <w:t>(-) Exclusão do ICMS na BC do PIS e COFINS</w:t>
            </w:r>
          </w:p>
        </w:tc>
        <w:tc>
          <w:tcPr>
            <w:tcW w:w="526" w:type="pct"/>
            <w:tcBorders>
              <w:top w:val="nil"/>
              <w:left w:val="nil"/>
              <w:bottom w:val="nil"/>
              <w:right w:val="nil"/>
            </w:tcBorders>
            <w:shd w:val="clear" w:color="auto" w:fill="auto"/>
            <w:noWrap/>
            <w:vAlign w:val="center"/>
            <w:hideMark/>
          </w:tcPr>
          <w:p w14:paraId="7263A7D4"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26" w:type="pct"/>
            <w:tcBorders>
              <w:top w:val="nil"/>
              <w:left w:val="nil"/>
              <w:bottom w:val="nil"/>
              <w:right w:val="nil"/>
            </w:tcBorders>
            <w:shd w:val="clear" w:color="auto" w:fill="auto"/>
            <w:noWrap/>
            <w:vAlign w:val="center"/>
            <w:hideMark/>
          </w:tcPr>
          <w:p w14:paraId="742A772F"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26" w:type="pct"/>
            <w:tcBorders>
              <w:top w:val="nil"/>
              <w:left w:val="nil"/>
              <w:bottom w:val="nil"/>
              <w:right w:val="nil"/>
            </w:tcBorders>
            <w:shd w:val="clear" w:color="auto" w:fill="auto"/>
            <w:noWrap/>
            <w:vAlign w:val="center"/>
            <w:hideMark/>
          </w:tcPr>
          <w:p w14:paraId="1C2B39FE"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(6.933)</w:t>
            </w:r>
          </w:p>
        </w:tc>
        <w:tc>
          <w:tcPr>
            <w:tcW w:w="526" w:type="pct"/>
            <w:tcBorders>
              <w:top w:val="nil"/>
              <w:left w:val="nil"/>
              <w:bottom w:val="nil"/>
              <w:right w:val="nil"/>
            </w:tcBorders>
            <w:shd w:val="clear" w:color="auto" w:fill="auto"/>
            <w:noWrap/>
            <w:vAlign w:val="center"/>
            <w:hideMark/>
          </w:tcPr>
          <w:p w14:paraId="415C78C0"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w:t>
            </w:r>
          </w:p>
        </w:tc>
        <w:tc>
          <w:tcPr>
            <w:tcW w:w="526" w:type="pct"/>
            <w:tcBorders>
              <w:top w:val="nil"/>
              <w:left w:val="nil"/>
              <w:bottom w:val="nil"/>
              <w:right w:val="nil"/>
            </w:tcBorders>
            <w:shd w:val="clear" w:color="auto" w:fill="auto"/>
            <w:noWrap/>
            <w:vAlign w:val="center"/>
            <w:hideMark/>
          </w:tcPr>
          <w:p w14:paraId="13912F6D"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r>
      <w:tr w:rsidR="009323E1" w:rsidRPr="009323E1" w14:paraId="00374A6E" w14:textId="77777777" w:rsidTr="004E1C02">
        <w:trPr>
          <w:trHeight w:val="238"/>
        </w:trPr>
        <w:tc>
          <w:tcPr>
            <w:tcW w:w="2368" w:type="pct"/>
            <w:tcBorders>
              <w:top w:val="nil"/>
              <w:left w:val="nil"/>
              <w:bottom w:val="nil"/>
              <w:right w:val="nil"/>
            </w:tcBorders>
            <w:shd w:val="clear" w:color="auto" w:fill="auto"/>
            <w:noWrap/>
            <w:vAlign w:val="center"/>
            <w:hideMark/>
          </w:tcPr>
          <w:p w14:paraId="61919759" w14:textId="77777777" w:rsidR="009323E1" w:rsidRPr="003B40B6" w:rsidRDefault="009323E1" w:rsidP="009323E1">
            <w:pPr>
              <w:tabs>
                <w:tab w:val="clear" w:pos="851"/>
              </w:tabs>
              <w:spacing w:before="0" w:after="0" w:line="240" w:lineRule="auto"/>
              <w:jc w:val="left"/>
              <w:rPr>
                <w:rFonts w:ascii="Arial" w:hAnsi="Arial" w:cs="Arial"/>
                <w:color w:val="000000"/>
                <w:sz w:val="16"/>
                <w:szCs w:val="18"/>
                <w:lang w:eastAsia="pt-BR"/>
              </w:rPr>
            </w:pPr>
            <w:r w:rsidRPr="003B40B6">
              <w:rPr>
                <w:rFonts w:ascii="Arial" w:hAnsi="Arial" w:cs="Arial"/>
                <w:color w:val="000000"/>
                <w:sz w:val="16"/>
                <w:szCs w:val="18"/>
                <w:lang w:eastAsia="pt-BR"/>
              </w:rPr>
              <w:t>(-) Superávit de Previdência Privada</w:t>
            </w:r>
          </w:p>
        </w:tc>
        <w:tc>
          <w:tcPr>
            <w:tcW w:w="526" w:type="pct"/>
            <w:tcBorders>
              <w:top w:val="nil"/>
              <w:left w:val="nil"/>
              <w:bottom w:val="nil"/>
              <w:right w:val="nil"/>
            </w:tcBorders>
            <w:shd w:val="clear" w:color="auto" w:fill="auto"/>
            <w:noWrap/>
            <w:vAlign w:val="center"/>
            <w:hideMark/>
          </w:tcPr>
          <w:p w14:paraId="29682373"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(33.912)</w:t>
            </w:r>
          </w:p>
        </w:tc>
        <w:tc>
          <w:tcPr>
            <w:tcW w:w="526" w:type="pct"/>
            <w:tcBorders>
              <w:top w:val="nil"/>
              <w:left w:val="nil"/>
              <w:bottom w:val="nil"/>
              <w:right w:val="nil"/>
            </w:tcBorders>
            <w:shd w:val="clear" w:color="auto" w:fill="auto"/>
            <w:noWrap/>
            <w:vAlign w:val="center"/>
            <w:hideMark/>
          </w:tcPr>
          <w:p w14:paraId="1B24BEC2"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26" w:type="pct"/>
            <w:tcBorders>
              <w:top w:val="nil"/>
              <w:left w:val="nil"/>
              <w:bottom w:val="nil"/>
              <w:right w:val="nil"/>
            </w:tcBorders>
            <w:shd w:val="clear" w:color="auto" w:fill="auto"/>
            <w:noWrap/>
            <w:vAlign w:val="center"/>
            <w:hideMark/>
          </w:tcPr>
          <w:p w14:paraId="6BB6D2FE"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26" w:type="pct"/>
            <w:tcBorders>
              <w:top w:val="nil"/>
              <w:left w:val="nil"/>
              <w:bottom w:val="nil"/>
              <w:right w:val="nil"/>
            </w:tcBorders>
            <w:shd w:val="clear" w:color="auto" w:fill="auto"/>
            <w:noWrap/>
            <w:vAlign w:val="center"/>
            <w:hideMark/>
          </w:tcPr>
          <w:p w14:paraId="5FC95527"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c>
          <w:tcPr>
            <w:tcW w:w="526" w:type="pct"/>
            <w:tcBorders>
              <w:top w:val="nil"/>
              <w:left w:val="nil"/>
              <w:bottom w:val="nil"/>
              <w:right w:val="nil"/>
            </w:tcBorders>
            <w:shd w:val="clear" w:color="auto" w:fill="auto"/>
            <w:noWrap/>
            <w:vAlign w:val="center"/>
            <w:hideMark/>
          </w:tcPr>
          <w:p w14:paraId="49D4B52D"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r>
      <w:tr w:rsidR="009323E1" w:rsidRPr="009323E1" w14:paraId="73DE138B" w14:textId="77777777" w:rsidTr="004E1C02">
        <w:trPr>
          <w:trHeight w:val="238"/>
        </w:trPr>
        <w:tc>
          <w:tcPr>
            <w:tcW w:w="2368" w:type="pct"/>
            <w:tcBorders>
              <w:top w:val="nil"/>
              <w:left w:val="nil"/>
              <w:bottom w:val="nil"/>
              <w:right w:val="nil"/>
            </w:tcBorders>
            <w:shd w:val="clear" w:color="auto" w:fill="auto"/>
            <w:noWrap/>
            <w:vAlign w:val="center"/>
            <w:hideMark/>
          </w:tcPr>
          <w:p w14:paraId="642F1196" w14:textId="77777777" w:rsidR="009323E1" w:rsidRPr="003B40B6" w:rsidRDefault="009323E1" w:rsidP="009323E1">
            <w:pPr>
              <w:tabs>
                <w:tab w:val="clear" w:pos="851"/>
              </w:tabs>
              <w:spacing w:before="0" w:after="0" w:line="240" w:lineRule="auto"/>
              <w:jc w:val="left"/>
              <w:rPr>
                <w:rFonts w:ascii="Arial" w:hAnsi="Arial" w:cs="Arial"/>
                <w:color w:val="000000"/>
                <w:sz w:val="16"/>
                <w:szCs w:val="18"/>
                <w:lang w:eastAsia="pt-BR"/>
              </w:rPr>
            </w:pPr>
            <w:r w:rsidRPr="003B40B6">
              <w:rPr>
                <w:rFonts w:ascii="Arial" w:hAnsi="Arial" w:cs="Arial"/>
                <w:color w:val="000000"/>
                <w:sz w:val="16"/>
                <w:szCs w:val="18"/>
                <w:lang w:eastAsia="pt-BR"/>
              </w:rPr>
              <w:t>(+) Tributos sobre Superávit de Previdência Privada</w:t>
            </w:r>
          </w:p>
        </w:tc>
        <w:tc>
          <w:tcPr>
            <w:tcW w:w="526" w:type="pct"/>
            <w:tcBorders>
              <w:top w:val="nil"/>
              <w:left w:val="nil"/>
              <w:bottom w:val="nil"/>
              <w:right w:val="nil"/>
            </w:tcBorders>
            <w:shd w:val="clear" w:color="auto" w:fill="auto"/>
            <w:noWrap/>
            <w:vAlign w:val="center"/>
            <w:hideMark/>
          </w:tcPr>
          <w:p w14:paraId="7CC28719"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3.137 </w:t>
            </w:r>
          </w:p>
        </w:tc>
        <w:tc>
          <w:tcPr>
            <w:tcW w:w="526" w:type="pct"/>
            <w:tcBorders>
              <w:top w:val="nil"/>
              <w:left w:val="nil"/>
              <w:bottom w:val="nil"/>
              <w:right w:val="nil"/>
            </w:tcBorders>
            <w:shd w:val="clear" w:color="auto" w:fill="auto"/>
            <w:noWrap/>
            <w:vAlign w:val="center"/>
            <w:hideMark/>
          </w:tcPr>
          <w:p w14:paraId="4DC5CFFA"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26" w:type="pct"/>
            <w:tcBorders>
              <w:top w:val="nil"/>
              <w:left w:val="nil"/>
              <w:bottom w:val="nil"/>
              <w:right w:val="nil"/>
            </w:tcBorders>
            <w:shd w:val="clear" w:color="auto" w:fill="auto"/>
            <w:noWrap/>
            <w:vAlign w:val="center"/>
            <w:hideMark/>
          </w:tcPr>
          <w:p w14:paraId="38C89A70"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26" w:type="pct"/>
            <w:tcBorders>
              <w:top w:val="nil"/>
              <w:left w:val="nil"/>
              <w:bottom w:val="nil"/>
              <w:right w:val="nil"/>
            </w:tcBorders>
            <w:shd w:val="clear" w:color="auto" w:fill="auto"/>
            <w:noWrap/>
            <w:vAlign w:val="center"/>
            <w:hideMark/>
          </w:tcPr>
          <w:p w14:paraId="02D994C1"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c>
          <w:tcPr>
            <w:tcW w:w="526" w:type="pct"/>
            <w:tcBorders>
              <w:top w:val="nil"/>
              <w:left w:val="nil"/>
              <w:bottom w:val="nil"/>
              <w:right w:val="nil"/>
            </w:tcBorders>
            <w:shd w:val="clear" w:color="auto" w:fill="auto"/>
            <w:noWrap/>
            <w:vAlign w:val="center"/>
            <w:hideMark/>
          </w:tcPr>
          <w:p w14:paraId="702C7053"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r>
      <w:tr w:rsidR="009323E1" w:rsidRPr="009323E1" w14:paraId="6189DA93" w14:textId="77777777" w:rsidTr="004E1C02">
        <w:trPr>
          <w:trHeight w:val="238"/>
        </w:trPr>
        <w:tc>
          <w:tcPr>
            <w:tcW w:w="2368" w:type="pct"/>
            <w:tcBorders>
              <w:top w:val="nil"/>
              <w:left w:val="nil"/>
              <w:bottom w:val="nil"/>
              <w:right w:val="nil"/>
            </w:tcBorders>
            <w:shd w:val="clear" w:color="auto" w:fill="auto"/>
            <w:noWrap/>
            <w:vAlign w:val="center"/>
            <w:hideMark/>
          </w:tcPr>
          <w:p w14:paraId="29A0A1ED" w14:textId="77777777" w:rsidR="009323E1" w:rsidRPr="003B40B6" w:rsidRDefault="009323E1" w:rsidP="009323E1">
            <w:pPr>
              <w:tabs>
                <w:tab w:val="clear" w:pos="851"/>
              </w:tabs>
              <w:spacing w:before="0" w:after="0" w:line="240" w:lineRule="auto"/>
              <w:jc w:val="left"/>
              <w:rPr>
                <w:rFonts w:ascii="Arial" w:hAnsi="Arial" w:cs="Arial"/>
                <w:color w:val="000000"/>
                <w:sz w:val="16"/>
                <w:szCs w:val="18"/>
                <w:lang w:eastAsia="pt-BR"/>
              </w:rPr>
            </w:pPr>
            <w:r w:rsidRPr="003B40B6">
              <w:rPr>
                <w:rFonts w:ascii="Arial" w:hAnsi="Arial" w:cs="Arial"/>
                <w:color w:val="000000"/>
                <w:sz w:val="16"/>
                <w:szCs w:val="18"/>
                <w:lang w:eastAsia="pt-BR"/>
              </w:rPr>
              <w:t>(-) Ganho na Baixa de Passivo</w:t>
            </w:r>
          </w:p>
        </w:tc>
        <w:tc>
          <w:tcPr>
            <w:tcW w:w="526" w:type="pct"/>
            <w:tcBorders>
              <w:top w:val="nil"/>
              <w:left w:val="nil"/>
              <w:bottom w:val="nil"/>
              <w:right w:val="nil"/>
            </w:tcBorders>
            <w:shd w:val="clear" w:color="auto" w:fill="auto"/>
            <w:noWrap/>
            <w:vAlign w:val="center"/>
            <w:hideMark/>
          </w:tcPr>
          <w:p w14:paraId="1270C044"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(417)</w:t>
            </w:r>
          </w:p>
        </w:tc>
        <w:tc>
          <w:tcPr>
            <w:tcW w:w="526" w:type="pct"/>
            <w:tcBorders>
              <w:top w:val="nil"/>
              <w:left w:val="nil"/>
              <w:bottom w:val="nil"/>
              <w:right w:val="nil"/>
            </w:tcBorders>
            <w:shd w:val="clear" w:color="auto" w:fill="auto"/>
            <w:noWrap/>
            <w:vAlign w:val="center"/>
            <w:hideMark/>
          </w:tcPr>
          <w:p w14:paraId="0A8CA8E7"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(474)</w:t>
            </w:r>
          </w:p>
        </w:tc>
        <w:tc>
          <w:tcPr>
            <w:tcW w:w="526" w:type="pct"/>
            <w:tcBorders>
              <w:top w:val="nil"/>
              <w:left w:val="nil"/>
              <w:bottom w:val="nil"/>
              <w:right w:val="nil"/>
            </w:tcBorders>
            <w:shd w:val="clear" w:color="auto" w:fill="auto"/>
            <w:noWrap/>
            <w:vAlign w:val="center"/>
            <w:hideMark/>
          </w:tcPr>
          <w:p w14:paraId="5138623C"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(15.501)</w:t>
            </w:r>
          </w:p>
        </w:tc>
        <w:tc>
          <w:tcPr>
            <w:tcW w:w="526" w:type="pct"/>
            <w:tcBorders>
              <w:top w:val="nil"/>
              <w:left w:val="nil"/>
              <w:bottom w:val="nil"/>
              <w:right w:val="nil"/>
            </w:tcBorders>
            <w:shd w:val="clear" w:color="auto" w:fill="auto"/>
            <w:noWrap/>
            <w:vAlign w:val="center"/>
            <w:hideMark/>
          </w:tcPr>
          <w:p w14:paraId="7B1D7A19"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-12,0%</w:t>
            </w:r>
          </w:p>
        </w:tc>
        <w:tc>
          <w:tcPr>
            <w:tcW w:w="526" w:type="pct"/>
            <w:tcBorders>
              <w:top w:val="nil"/>
              <w:left w:val="nil"/>
              <w:bottom w:val="nil"/>
              <w:right w:val="nil"/>
            </w:tcBorders>
            <w:shd w:val="clear" w:color="auto" w:fill="auto"/>
            <w:noWrap/>
            <w:vAlign w:val="center"/>
            <w:hideMark/>
          </w:tcPr>
          <w:p w14:paraId="34E21D46"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-97,3%</w:t>
            </w:r>
          </w:p>
        </w:tc>
      </w:tr>
      <w:tr w:rsidR="009323E1" w:rsidRPr="009323E1" w14:paraId="078E2F1A" w14:textId="77777777" w:rsidTr="004E1C02">
        <w:trPr>
          <w:trHeight w:val="238"/>
        </w:trPr>
        <w:tc>
          <w:tcPr>
            <w:tcW w:w="2368" w:type="pct"/>
            <w:tcBorders>
              <w:top w:val="nil"/>
              <w:left w:val="nil"/>
              <w:bottom w:val="nil"/>
              <w:right w:val="nil"/>
            </w:tcBorders>
            <w:shd w:val="clear" w:color="auto" w:fill="auto"/>
            <w:noWrap/>
            <w:vAlign w:val="center"/>
            <w:hideMark/>
          </w:tcPr>
          <w:p w14:paraId="00931292" w14:textId="77777777" w:rsidR="009323E1" w:rsidRPr="003B40B6" w:rsidRDefault="009323E1" w:rsidP="009323E1">
            <w:pPr>
              <w:tabs>
                <w:tab w:val="clear" w:pos="851"/>
              </w:tabs>
              <w:spacing w:before="0" w:after="0" w:line="240" w:lineRule="auto"/>
              <w:jc w:val="left"/>
              <w:rPr>
                <w:rFonts w:ascii="Arial" w:hAnsi="Arial" w:cs="Arial"/>
                <w:color w:val="000000"/>
                <w:sz w:val="16"/>
                <w:szCs w:val="18"/>
                <w:lang w:eastAsia="pt-BR"/>
              </w:rPr>
            </w:pPr>
            <w:r w:rsidRPr="003B40B6">
              <w:rPr>
                <w:rFonts w:ascii="Arial" w:hAnsi="Arial" w:cs="Arial"/>
                <w:color w:val="000000"/>
                <w:sz w:val="16"/>
                <w:szCs w:val="18"/>
                <w:lang w:eastAsia="pt-BR"/>
              </w:rPr>
              <w:t>(+) Baixa de Ativo Imobilizado</w:t>
            </w:r>
          </w:p>
        </w:tc>
        <w:tc>
          <w:tcPr>
            <w:tcW w:w="526" w:type="pct"/>
            <w:tcBorders>
              <w:top w:val="nil"/>
              <w:left w:val="nil"/>
              <w:bottom w:val="nil"/>
              <w:right w:val="nil"/>
            </w:tcBorders>
            <w:shd w:val="clear" w:color="auto" w:fill="auto"/>
            <w:noWrap/>
            <w:vAlign w:val="center"/>
            <w:hideMark/>
          </w:tcPr>
          <w:p w14:paraId="253C245C"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383 </w:t>
            </w:r>
          </w:p>
        </w:tc>
        <w:tc>
          <w:tcPr>
            <w:tcW w:w="526" w:type="pct"/>
            <w:tcBorders>
              <w:top w:val="nil"/>
              <w:left w:val="nil"/>
              <w:bottom w:val="nil"/>
              <w:right w:val="nil"/>
            </w:tcBorders>
            <w:shd w:val="clear" w:color="auto" w:fill="auto"/>
            <w:noWrap/>
            <w:vAlign w:val="center"/>
            <w:hideMark/>
          </w:tcPr>
          <w:p w14:paraId="0F4BB58B"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16.643 </w:t>
            </w:r>
          </w:p>
        </w:tc>
        <w:tc>
          <w:tcPr>
            <w:tcW w:w="526" w:type="pct"/>
            <w:tcBorders>
              <w:top w:val="nil"/>
              <w:left w:val="nil"/>
              <w:bottom w:val="nil"/>
              <w:right w:val="nil"/>
            </w:tcBorders>
            <w:shd w:val="clear" w:color="auto" w:fill="auto"/>
            <w:noWrap/>
            <w:vAlign w:val="center"/>
            <w:hideMark/>
          </w:tcPr>
          <w:p w14:paraId="6680457C"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26" w:type="pct"/>
            <w:tcBorders>
              <w:top w:val="nil"/>
              <w:left w:val="nil"/>
              <w:bottom w:val="nil"/>
              <w:right w:val="nil"/>
            </w:tcBorders>
            <w:shd w:val="clear" w:color="auto" w:fill="auto"/>
            <w:noWrap/>
            <w:vAlign w:val="center"/>
            <w:hideMark/>
          </w:tcPr>
          <w:p w14:paraId="61F6A024"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-97,7%</w:t>
            </w:r>
          </w:p>
        </w:tc>
        <w:tc>
          <w:tcPr>
            <w:tcW w:w="526" w:type="pct"/>
            <w:tcBorders>
              <w:top w:val="nil"/>
              <w:left w:val="nil"/>
              <w:bottom w:val="nil"/>
              <w:right w:val="nil"/>
            </w:tcBorders>
            <w:shd w:val="clear" w:color="auto" w:fill="auto"/>
            <w:noWrap/>
            <w:vAlign w:val="center"/>
            <w:hideMark/>
          </w:tcPr>
          <w:p w14:paraId="4D6A716D"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r>
      <w:tr w:rsidR="009323E1" w:rsidRPr="009323E1" w14:paraId="5AFC4DA6" w14:textId="77777777" w:rsidTr="004E1C02">
        <w:trPr>
          <w:trHeight w:val="238"/>
        </w:trPr>
        <w:tc>
          <w:tcPr>
            <w:tcW w:w="2368" w:type="pct"/>
            <w:tcBorders>
              <w:top w:val="nil"/>
              <w:left w:val="nil"/>
              <w:bottom w:val="nil"/>
              <w:right w:val="nil"/>
            </w:tcBorders>
            <w:shd w:val="clear" w:color="auto" w:fill="auto"/>
            <w:noWrap/>
            <w:vAlign w:val="center"/>
            <w:hideMark/>
          </w:tcPr>
          <w:p w14:paraId="74B1BD60" w14:textId="77777777" w:rsidR="009323E1" w:rsidRPr="003B40B6" w:rsidRDefault="009323E1" w:rsidP="009323E1">
            <w:pPr>
              <w:tabs>
                <w:tab w:val="clear" w:pos="851"/>
              </w:tabs>
              <w:spacing w:before="0" w:after="0" w:line="240" w:lineRule="auto"/>
              <w:jc w:val="left"/>
              <w:rPr>
                <w:rFonts w:ascii="Arial" w:hAnsi="Arial" w:cs="Arial"/>
                <w:color w:val="000000"/>
                <w:sz w:val="16"/>
                <w:szCs w:val="18"/>
                <w:lang w:eastAsia="pt-BR"/>
              </w:rPr>
            </w:pPr>
            <w:r w:rsidRPr="003B40B6">
              <w:rPr>
                <w:rFonts w:ascii="Arial" w:hAnsi="Arial" w:cs="Arial"/>
                <w:color w:val="000000"/>
                <w:sz w:val="16"/>
                <w:szCs w:val="18"/>
                <w:lang w:eastAsia="pt-BR"/>
              </w:rPr>
              <w:t xml:space="preserve">(+) Baixa de Ativos - Tributos </w:t>
            </w:r>
          </w:p>
        </w:tc>
        <w:tc>
          <w:tcPr>
            <w:tcW w:w="526" w:type="pct"/>
            <w:tcBorders>
              <w:top w:val="nil"/>
              <w:left w:val="nil"/>
              <w:bottom w:val="nil"/>
              <w:right w:val="nil"/>
            </w:tcBorders>
            <w:shd w:val="clear" w:color="auto" w:fill="auto"/>
            <w:noWrap/>
            <w:vAlign w:val="center"/>
            <w:hideMark/>
          </w:tcPr>
          <w:p w14:paraId="61BB1046"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7.183 </w:t>
            </w:r>
          </w:p>
        </w:tc>
        <w:tc>
          <w:tcPr>
            <w:tcW w:w="526" w:type="pct"/>
            <w:tcBorders>
              <w:top w:val="nil"/>
              <w:left w:val="nil"/>
              <w:bottom w:val="nil"/>
              <w:right w:val="nil"/>
            </w:tcBorders>
            <w:shd w:val="clear" w:color="auto" w:fill="auto"/>
            <w:noWrap/>
            <w:vAlign w:val="center"/>
            <w:hideMark/>
          </w:tcPr>
          <w:p w14:paraId="606C25C5"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26" w:type="pct"/>
            <w:tcBorders>
              <w:top w:val="nil"/>
              <w:left w:val="nil"/>
              <w:bottom w:val="nil"/>
              <w:right w:val="nil"/>
            </w:tcBorders>
            <w:shd w:val="clear" w:color="auto" w:fill="auto"/>
            <w:noWrap/>
            <w:vAlign w:val="center"/>
            <w:hideMark/>
          </w:tcPr>
          <w:p w14:paraId="2FF1D653"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13.488 </w:t>
            </w:r>
          </w:p>
        </w:tc>
        <w:tc>
          <w:tcPr>
            <w:tcW w:w="526" w:type="pct"/>
            <w:tcBorders>
              <w:top w:val="nil"/>
              <w:left w:val="nil"/>
              <w:bottom w:val="nil"/>
              <w:right w:val="nil"/>
            </w:tcBorders>
            <w:shd w:val="clear" w:color="auto" w:fill="auto"/>
            <w:noWrap/>
            <w:vAlign w:val="center"/>
            <w:hideMark/>
          </w:tcPr>
          <w:p w14:paraId="6BB80D3C"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c>
          <w:tcPr>
            <w:tcW w:w="526" w:type="pct"/>
            <w:tcBorders>
              <w:top w:val="nil"/>
              <w:left w:val="nil"/>
              <w:bottom w:val="nil"/>
              <w:right w:val="nil"/>
            </w:tcBorders>
            <w:shd w:val="clear" w:color="auto" w:fill="auto"/>
            <w:noWrap/>
            <w:vAlign w:val="center"/>
            <w:hideMark/>
          </w:tcPr>
          <w:p w14:paraId="0EE0A3E5"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-46,7%</w:t>
            </w:r>
          </w:p>
        </w:tc>
      </w:tr>
      <w:tr w:rsidR="009323E1" w:rsidRPr="009323E1" w14:paraId="2C863EBE" w14:textId="77777777" w:rsidTr="004E1C02">
        <w:trPr>
          <w:trHeight w:val="238"/>
        </w:trPr>
        <w:tc>
          <w:tcPr>
            <w:tcW w:w="2368" w:type="pct"/>
            <w:tcBorders>
              <w:top w:val="nil"/>
              <w:left w:val="nil"/>
              <w:bottom w:val="nil"/>
              <w:right w:val="nil"/>
            </w:tcBorders>
            <w:shd w:val="clear" w:color="auto" w:fill="auto"/>
            <w:noWrap/>
            <w:vAlign w:val="center"/>
            <w:hideMark/>
          </w:tcPr>
          <w:p w14:paraId="1C3BC1C2" w14:textId="77777777" w:rsidR="009323E1" w:rsidRPr="003B40B6" w:rsidRDefault="009323E1" w:rsidP="009323E1">
            <w:pPr>
              <w:tabs>
                <w:tab w:val="clear" w:pos="851"/>
              </w:tabs>
              <w:spacing w:before="0" w:after="0" w:line="240" w:lineRule="auto"/>
              <w:jc w:val="left"/>
              <w:rPr>
                <w:rFonts w:ascii="Arial" w:hAnsi="Arial" w:cs="Arial"/>
                <w:color w:val="000000"/>
                <w:sz w:val="16"/>
                <w:szCs w:val="18"/>
                <w:lang w:eastAsia="pt-BR"/>
              </w:rPr>
            </w:pPr>
            <w:r w:rsidRPr="003B40B6">
              <w:rPr>
                <w:rFonts w:ascii="Arial" w:hAnsi="Arial" w:cs="Arial"/>
                <w:color w:val="000000"/>
                <w:sz w:val="16"/>
                <w:szCs w:val="18"/>
                <w:lang w:eastAsia="pt-BR"/>
              </w:rPr>
              <w:t>(+) Multas Contratuais - Dataprev</w:t>
            </w:r>
          </w:p>
        </w:tc>
        <w:tc>
          <w:tcPr>
            <w:tcW w:w="526" w:type="pct"/>
            <w:tcBorders>
              <w:top w:val="nil"/>
              <w:left w:val="nil"/>
              <w:bottom w:val="nil"/>
              <w:right w:val="nil"/>
            </w:tcBorders>
            <w:shd w:val="clear" w:color="auto" w:fill="auto"/>
            <w:noWrap/>
            <w:vAlign w:val="center"/>
            <w:hideMark/>
          </w:tcPr>
          <w:p w14:paraId="3B84EAE5"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39.352 </w:t>
            </w:r>
          </w:p>
        </w:tc>
        <w:tc>
          <w:tcPr>
            <w:tcW w:w="526" w:type="pct"/>
            <w:tcBorders>
              <w:top w:val="nil"/>
              <w:left w:val="nil"/>
              <w:bottom w:val="nil"/>
              <w:right w:val="nil"/>
            </w:tcBorders>
            <w:shd w:val="clear" w:color="auto" w:fill="auto"/>
            <w:noWrap/>
            <w:vAlign w:val="center"/>
            <w:hideMark/>
          </w:tcPr>
          <w:p w14:paraId="75342E9A"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26" w:type="pct"/>
            <w:tcBorders>
              <w:top w:val="nil"/>
              <w:left w:val="nil"/>
              <w:bottom w:val="nil"/>
              <w:right w:val="nil"/>
            </w:tcBorders>
            <w:shd w:val="clear" w:color="auto" w:fill="auto"/>
            <w:noWrap/>
            <w:vAlign w:val="center"/>
            <w:hideMark/>
          </w:tcPr>
          <w:p w14:paraId="6DECBADC"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26" w:type="pct"/>
            <w:tcBorders>
              <w:top w:val="nil"/>
              <w:left w:val="nil"/>
              <w:bottom w:val="nil"/>
              <w:right w:val="nil"/>
            </w:tcBorders>
            <w:shd w:val="clear" w:color="auto" w:fill="auto"/>
            <w:noWrap/>
            <w:vAlign w:val="center"/>
            <w:hideMark/>
          </w:tcPr>
          <w:p w14:paraId="2DC97FEF"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c>
          <w:tcPr>
            <w:tcW w:w="526" w:type="pct"/>
            <w:tcBorders>
              <w:top w:val="nil"/>
              <w:left w:val="nil"/>
              <w:bottom w:val="nil"/>
              <w:right w:val="nil"/>
            </w:tcBorders>
            <w:shd w:val="clear" w:color="auto" w:fill="auto"/>
            <w:noWrap/>
            <w:vAlign w:val="center"/>
            <w:hideMark/>
          </w:tcPr>
          <w:p w14:paraId="263DD0F6" w14:textId="77777777" w:rsidR="009323E1" w:rsidRPr="003B40B6" w:rsidRDefault="009323E1" w:rsidP="009323E1">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r>
      <w:tr w:rsidR="009323E1" w:rsidRPr="009323E1" w14:paraId="66820B71" w14:textId="77777777" w:rsidTr="004E1C02">
        <w:trPr>
          <w:trHeight w:val="238"/>
        </w:trPr>
        <w:tc>
          <w:tcPr>
            <w:tcW w:w="2368" w:type="pct"/>
            <w:tcBorders>
              <w:top w:val="single" w:sz="8" w:space="0" w:color="9BC2E6"/>
              <w:left w:val="nil"/>
              <w:bottom w:val="single" w:sz="8" w:space="0" w:color="9BC2E6"/>
              <w:right w:val="nil"/>
            </w:tcBorders>
            <w:shd w:val="clear" w:color="auto" w:fill="auto"/>
            <w:noWrap/>
            <w:vAlign w:val="center"/>
            <w:hideMark/>
          </w:tcPr>
          <w:p w14:paraId="3521BC8A" w14:textId="77777777" w:rsidR="009323E1" w:rsidRPr="003B40B6" w:rsidRDefault="009323E1" w:rsidP="009323E1">
            <w:pPr>
              <w:tabs>
                <w:tab w:val="clear" w:pos="851"/>
              </w:tabs>
              <w:spacing w:before="0" w:after="0" w:line="240" w:lineRule="auto"/>
              <w:jc w:val="left"/>
              <w:rPr>
                <w:rFonts w:ascii="Arial" w:hAnsi="Arial" w:cs="Arial"/>
                <w:b/>
                <w:bCs/>
                <w:color w:val="000000"/>
                <w:sz w:val="16"/>
                <w:szCs w:val="18"/>
                <w:lang w:eastAsia="pt-BR"/>
              </w:rPr>
            </w:pPr>
            <w:r w:rsidRPr="003B40B6">
              <w:rPr>
                <w:rFonts w:ascii="Arial" w:hAnsi="Arial" w:cs="Arial"/>
                <w:b/>
                <w:bCs/>
                <w:color w:val="000000"/>
                <w:sz w:val="16"/>
                <w:szCs w:val="18"/>
                <w:lang w:eastAsia="pt-BR"/>
              </w:rPr>
              <w:t>Prejuízo do Exercício Ajustado</w:t>
            </w:r>
          </w:p>
        </w:tc>
        <w:tc>
          <w:tcPr>
            <w:tcW w:w="526" w:type="pct"/>
            <w:tcBorders>
              <w:top w:val="single" w:sz="8" w:space="0" w:color="9BC2E6"/>
              <w:left w:val="nil"/>
              <w:bottom w:val="single" w:sz="8" w:space="0" w:color="9BC2E6"/>
              <w:right w:val="nil"/>
            </w:tcBorders>
            <w:shd w:val="clear" w:color="auto" w:fill="auto"/>
            <w:noWrap/>
            <w:vAlign w:val="center"/>
            <w:hideMark/>
          </w:tcPr>
          <w:p w14:paraId="6A4AD8D7" w14:textId="77777777" w:rsidR="009323E1" w:rsidRPr="003B40B6" w:rsidRDefault="009323E1" w:rsidP="009323E1">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(111.631)</w:t>
            </w:r>
          </w:p>
        </w:tc>
        <w:tc>
          <w:tcPr>
            <w:tcW w:w="526" w:type="pct"/>
            <w:tcBorders>
              <w:top w:val="single" w:sz="8" w:space="0" w:color="9BC2E6"/>
              <w:left w:val="nil"/>
              <w:bottom w:val="single" w:sz="8" w:space="0" w:color="9BC2E6"/>
              <w:right w:val="nil"/>
            </w:tcBorders>
            <w:shd w:val="clear" w:color="auto" w:fill="auto"/>
            <w:noWrap/>
            <w:vAlign w:val="center"/>
            <w:hideMark/>
          </w:tcPr>
          <w:p w14:paraId="546DA0B9" w14:textId="77777777" w:rsidR="009323E1" w:rsidRPr="003B40B6" w:rsidRDefault="009323E1" w:rsidP="009323E1">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(152.290)</w:t>
            </w:r>
          </w:p>
        </w:tc>
        <w:tc>
          <w:tcPr>
            <w:tcW w:w="526" w:type="pct"/>
            <w:tcBorders>
              <w:top w:val="single" w:sz="8" w:space="0" w:color="9BC2E6"/>
              <w:left w:val="nil"/>
              <w:bottom w:val="single" w:sz="8" w:space="0" w:color="9BC2E6"/>
              <w:right w:val="nil"/>
            </w:tcBorders>
            <w:shd w:val="clear" w:color="auto" w:fill="auto"/>
            <w:noWrap/>
            <w:vAlign w:val="center"/>
            <w:hideMark/>
          </w:tcPr>
          <w:p w14:paraId="0CBBB346" w14:textId="77777777" w:rsidR="009323E1" w:rsidRPr="003B40B6" w:rsidRDefault="009323E1" w:rsidP="009323E1">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(171.959)</w:t>
            </w:r>
          </w:p>
        </w:tc>
        <w:tc>
          <w:tcPr>
            <w:tcW w:w="526" w:type="pct"/>
            <w:tcBorders>
              <w:top w:val="single" w:sz="8" w:space="0" w:color="9BC2E6"/>
              <w:left w:val="nil"/>
              <w:bottom w:val="single" w:sz="8" w:space="0" w:color="9BC2E6"/>
              <w:right w:val="nil"/>
            </w:tcBorders>
            <w:shd w:val="clear" w:color="auto" w:fill="auto"/>
            <w:noWrap/>
            <w:vAlign w:val="center"/>
            <w:hideMark/>
          </w:tcPr>
          <w:p w14:paraId="17D944A5" w14:textId="77777777" w:rsidR="009323E1" w:rsidRPr="003B40B6" w:rsidRDefault="009323E1" w:rsidP="009323E1">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-26,7%</w:t>
            </w:r>
          </w:p>
        </w:tc>
        <w:tc>
          <w:tcPr>
            <w:tcW w:w="526" w:type="pct"/>
            <w:tcBorders>
              <w:top w:val="single" w:sz="8" w:space="0" w:color="9BC2E6"/>
              <w:left w:val="nil"/>
              <w:bottom w:val="single" w:sz="8" w:space="0" w:color="9BC2E6"/>
              <w:right w:val="nil"/>
            </w:tcBorders>
            <w:shd w:val="clear" w:color="auto" w:fill="auto"/>
            <w:noWrap/>
            <w:vAlign w:val="center"/>
            <w:hideMark/>
          </w:tcPr>
          <w:p w14:paraId="052B3AF9" w14:textId="77777777" w:rsidR="009323E1" w:rsidRPr="003B40B6" w:rsidRDefault="009323E1" w:rsidP="009323E1">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-35,1%</w:t>
            </w:r>
          </w:p>
        </w:tc>
      </w:tr>
      <w:tr w:rsidR="009323E1" w:rsidRPr="009323E1" w14:paraId="079493AC" w14:textId="77777777" w:rsidTr="004E1C02">
        <w:trPr>
          <w:trHeight w:val="238"/>
        </w:trPr>
        <w:tc>
          <w:tcPr>
            <w:tcW w:w="2368" w:type="pct"/>
            <w:tcBorders>
              <w:top w:val="nil"/>
              <w:left w:val="nil"/>
              <w:bottom w:val="single" w:sz="8" w:space="0" w:color="9BC2E6"/>
              <w:right w:val="nil"/>
            </w:tcBorders>
            <w:shd w:val="clear" w:color="auto" w:fill="auto"/>
            <w:noWrap/>
            <w:vAlign w:val="center"/>
            <w:hideMark/>
          </w:tcPr>
          <w:p w14:paraId="25FDD59B" w14:textId="77777777" w:rsidR="009323E1" w:rsidRPr="003B40B6" w:rsidRDefault="009323E1" w:rsidP="009323E1">
            <w:pPr>
              <w:tabs>
                <w:tab w:val="clear" w:pos="851"/>
              </w:tabs>
              <w:spacing w:before="0" w:after="0" w:line="240" w:lineRule="auto"/>
              <w:jc w:val="left"/>
              <w:rPr>
                <w:rFonts w:ascii="Arial" w:hAnsi="Arial" w:cs="Arial"/>
                <w:b/>
                <w:bCs/>
                <w:color w:val="000000"/>
                <w:sz w:val="16"/>
                <w:szCs w:val="18"/>
                <w:lang w:eastAsia="pt-BR"/>
              </w:rPr>
            </w:pPr>
            <w:r w:rsidRPr="003B40B6">
              <w:rPr>
                <w:rFonts w:ascii="Arial" w:hAnsi="Arial" w:cs="Arial"/>
                <w:b/>
                <w:bCs/>
                <w:color w:val="000000"/>
                <w:sz w:val="16"/>
                <w:szCs w:val="18"/>
                <w:lang w:eastAsia="pt-BR"/>
              </w:rPr>
              <w:t>Margem Líquida</w:t>
            </w:r>
          </w:p>
        </w:tc>
        <w:tc>
          <w:tcPr>
            <w:tcW w:w="526" w:type="pct"/>
            <w:tcBorders>
              <w:top w:val="nil"/>
              <w:left w:val="nil"/>
              <w:bottom w:val="single" w:sz="8" w:space="0" w:color="9BC2E6"/>
              <w:right w:val="nil"/>
            </w:tcBorders>
            <w:shd w:val="clear" w:color="auto" w:fill="auto"/>
            <w:noWrap/>
            <w:vAlign w:val="center"/>
            <w:hideMark/>
          </w:tcPr>
          <w:p w14:paraId="15F84FD6" w14:textId="77777777" w:rsidR="009323E1" w:rsidRPr="003B40B6" w:rsidRDefault="009323E1" w:rsidP="009323E1">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-26,8%</w:t>
            </w:r>
          </w:p>
        </w:tc>
        <w:tc>
          <w:tcPr>
            <w:tcW w:w="526" w:type="pct"/>
            <w:tcBorders>
              <w:top w:val="nil"/>
              <w:left w:val="nil"/>
              <w:bottom w:val="single" w:sz="8" w:space="0" w:color="9BC2E6"/>
              <w:right w:val="nil"/>
            </w:tcBorders>
            <w:shd w:val="clear" w:color="auto" w:fill="auto"/>
            <w:noWrap/>
            <w:vAlign w:val="center"/>
            <w:hideMark/>
          </w:tcPr>
          <w:p w14:paraId="721B84E1" w14:textId="77777777" w:rsidR="009323E1" w:rsidRPr="003B40B6" w:rsidRDefault="009323E1" w:rsidP="009323E1">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-43,8%</w:t>
            </w:r>
          </w:p>
        </w:tc>
        <w:tc>
          <w:tcPr>
            <w:tcW w:w="526" w:type="pct"/>
            <w:tcBorders>
              <w:top w:val="nil"/>
              <w:left w:val="nil"/>
              <w:bottom w:val="single" w:sz="8" w:space="0" w:color="9BC2E6"/>
              <w:right w:val="nil"/>
            </w:tcBorders>
            <w:shd w:val="clear" w:color="auto" w:fill="auto"/>
            <w:noWrap/>
            <w:vAlign w:val="center"/>
            <w:hideMark/>
          </w:tcPr>
          <w:p w14:paraId="24C59829" w14:textId="77777777" w:rsidR="009323E1" w:rsidRPr="003B40B6" w:rsidRDefault="009323E1" w:rsidP="009323E1">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-60,2%</w:t>
            </w:r>
          </w:p>
        </w:tc>
        <w:tc>
          <w:tcPr>
            <w:tcW w:w="526" w:type="pct"/>
            <w:tcBorders>
              <w:top w:val="nil"/>
              <w:left w:val="nil"/>
              <w:bottom w:val="single" w:sz="8" w:space="0" w:color="9BC2E6"/>
              <w:right w:val="nil"/>
            </w:tcBorders>
            <w:shd w:val="clear" w:color="auto" w:fill="auto"/>
            <w:noWrap/>
            <w:vAlign w:val="center"/>
            <w:hideMark/>
          </w:tcPr>
          <w:p w14:paraId="4B6B3070" w14:textId="77777777" w:rsidR="009323E1" w:rsidRPr="003B40B6" w:rsidRDefault="009323E1" w:rsidP="009323E1">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-38,9%</w:t>
            </w:r>
          </w:p>
        </w:tc>
        <w:tc>
          <w:tcPr>
            <w:tcW w:w="526" w:type="pct"/>
            <w:tcBorders>
              <w:top w:val="nil"/>
              <w:left w:val="nil"/>
              <w:bottom w:val="single" w:sz="8" w:space="0" w:color="9BC2E6"/>
              <w:right w:val="nil"/>
            </w:tcBorders>
            <w:shd w:val="clear" w:color="auto" w:fill="auto"/>
            <w:noWrap/>
            <w:vAlign w:val="center"/>
            <w:hideMark/>
          </w:tcPr>
          <w:p w14:paraId="6A2E26D4" w14:textId="77777777" w:rsidR="009323E1" w:rsidRPr="003B40B6" w:rsidRDefault="009323E1" w:rsidP="009323E1">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-55,5%</w:t>
            </w:r>
          </w:p>
        </w:tc>
      </w:tr>
      <w:tr w:rsidR="009323E1" w:rsidRPr="009323E1" w14:paraId="2F854DF3" w14:textId="77777777" w:rsidTr="004E1C02">
        <w:trPr>
          <w:trHeight w:val="238"/>
        </w:trPr>
        <w:tc>
          <w:tcPr>
            <w:tcW w:w="2368" w:type="pct"/>
            <w:tcBorders>
              <w:top w:val="nil"/>
              <w:left w:val="nil"/>
              <w:bottom w:val="single" w:sz="8" w:space="0" w:color="9BC2E6"/>
              <w:right w:val="nil"/>
            </w:tcBorders>
            <w:shd w:val="clear" w:color="auto" w:fill="auto"/>
            <w:noWrap/>
            <w:vAlign w:val="center"/>
            <w:hideMark/>
          </w:tcPr>
          <w:p w14:paraId="69F1DC3D" w14:textId="77777777" w:rsidR="009323E1" w:rsidRPr="003B40B6" w:rsidRDefault="009323E1" w:rsidP="009323E1">
            <w:pPr>
              <w:tabs>
                <w:tab w:val="clear" w:pos="851"/>
              </w:tabs>
              <w:spacing w:before="0" w:after="0" w:line="240" w:lineRule="auto"/>
              <w:jc w:val="left"/>
              <w:rPr>
                <w:rFonts w:ascii="Arial" w:hAnsi="Arial" w:cs="Arial"/>
                <w:b/>
                <w:bCs/>
                <w:color w:val="000000"/>
                <w:sz w:val="16"/>
                <w:szCs w:val="18"/>
                <w:lang w:eastAsia="pt-BR"/>
              </w:rPr>
            </w:pPr>
            <w:r w:rsidRPr="003B40B6">
              <w:rPr>
                <w:rFonts w:ascii="Arial" w:hAnsi="Arial" w:cs="Arial"/>
                <w:b/>
                <w:bCs/>
                <w:color w:val="000000"/>
                <w:sz w:val="16"/>
                <w:szCs w:val="18"/>
                <w:lang w:eastAsia="pt-BR"/>
              </w:rPr>
              <w:t>Prejuízo por Ação (R$)</w:t>
            </w:r>
          </w:p>
        </w:tc>
        <w:tc>
          <w:tcPr>
            <w:tcW w:w="526" w:type="pct"/>
            <w:tcBorders>
              <w:top w:val="nil"/>
              <w:left w:val="nil"/>
              <w:bottom w:val="single" w:sz="8" w:space="0" w:color="9BC2E6"/>
              <w:right w:val="nil"/>
            </w:tcBorders>
            <w:shd w:val="clear" w:color="auto" w:fill="auto"/>
            <w:noWrap/>
            <w:vAlign w:val="center"/>
            <w:hideMark/>
          </w:tcPr>
          <w:p w14:paraId="7E9AF72F" w14:textId="77777777" w:rsidR="009323E1" w:rsidRPr="003B40B6" w:rsidRDefault="009323E1" w:rsidP="009323E1">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-1,2923</w:t>
            </w:r>
          </w:p>
        </w:tc>
        <w:tc>
          <w:tcPr>
            <w:tcW w:w="526" w:type="pct"/>
            <w:tcBorders>
              <w:top w:val="nil"/>
              <w:left w:val="nil"/>
              <w:bottom w:val="single" w:sz="8" w:space="0" w:color="9BC2E6"/>
              <w:right w:val="nil"/>
            </w:tcBorders>
            <w:shd w:val="clear" w:color="auto" w:fill="auto"/>
            <w:noWrap/>
            <w:vAlign w:val="center"/>
            <w:hideMark/>
          </w:tcPr>
          <w:p w14:paraId="1A09BCEA" w14:textId="77777777" w:rsidR="009323E1" w:rsidRPr="003B40B6" w:rsidRDefault="009323E1" w:rsidP="009323E1">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-1,7629</w:t>
            </w:r>
          </w:p>
        </w:tc>
        <w:tc>
          <w:tcPr>
            <w:tcW w:w="526" w:type="pct"/>
            <w:tcBorders>
              <w:top w:val="nil"/>
              <w:left w:val="nil"/>
              <w:bottom w:val="single" w:sz="8" w:space="0" w:color="9BC2E6"/>
              <w:right w:val="nil"/>
            </w:tcBorders>
            <w:shd w:val="clear" w:color="auto" w:fill="auto"/>
            <w:noWrap/>
            <w:vAlign w:val="center"/>
            <w:hideMark/>
          </w:tcPr>
          <w:p w14:paraId="02A113C9" w14:textId="77777777" w:rsidR="009323E1" w:rsidRPr="003B40B6" w:rsidRDefault="009323E1" w:rsidP="009323E1">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-2,5338</w:t>
            </w:r>
          </w:p>
        </w:tc>
        <w:tc>
          <w:tcPr>
            <w:tcW w:w="526" w:type="pct"/>
            <w:tcBorders>
              <w:top w:val="nil"/>
              <w:left w:val="nil"/>
              <w:bottom w:val="single" w:sz="8" w:space="0" w:color="9BC2E6"/>
              <w:right w:val="nil"/>
            </w:tcBorders>
            <w:shd w:val="clear" w:color="auto" w:fill="auto"/>
            <w:noWrap/>
            <w:vAlign w:val="center"/>
            <w:hideMark/>
          </w:tcPr>
          <w:p w14:paraId="7880B106" w14:textId="77777777" w:rsidR="009323E1" w:rsidRPr="003B40B6" w:rsidRDefault="009323E1" w:rsidP="009323E1">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-26,7%</w:t>
            </w:r>
          </w:p>
        </w:tc>
        <w:tc>
          <w:tcPr>
            <w:tcW w:w="526" w:type="pct"/>
            <w:tcBorders>
              <w:top w:val="nil"/>
              <w:left w:val="nil"/>
              <w:bottom w:val="single" w:sz="8" w:space="0" w:color="9BC2E6"/>
              <w:right w:val="nil"/>
            </w:tcBorders>
            <w:shd w:val="clear" w:color="auto" w:fill="auto"/>
            <w:noWrap/>
            <w:vAlign w:val="center"/>
            <w:hideMark/>
          </w:tcPr>
          <w:p w14:paraId="7C143D6C" w14:textId="77777777" w:rsidR="009323E1" w:rsidRPr="003B40B6" w:rsidRDefault="009323E1" w:rsidP="009323E1">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-49,0%</w:t>
            </w:r>
          </w:p>
        </w:tc>
      </w:tr>
    </w:tbl>
    <w:p w14:paraId="280C248B" w14:textId="77777777" w:rsidR="009323E1" w:rsidRPr="009323E1" w:rsidRDefault="009323E1" w:rsidP="009323E1">
      <w:pPr>
        <w:tabs>
          <w:tab w:val="clear" w:pos="851"/>
        </w:tabs>
        <w:spacing w:before="0" w:after="0" w:line="240" w:lineRule="auto"/>
        <w:rPr>
          <w:rFonts w:ascii="Arial" w:hAnsi="Arial" w:cs="Arial"/>
          <w:b/>
          <w:color w:val="auto"/>
          <w:spacing w:val="5"/>
          <w:sz w:val="22"/>
          <w:szCs w:val="22"/>
          <w:u w:val="single"/>
          <w:lang w:eastAsia="pt-BR"/>
        </w:rPr>
      </w:pPr>
    </w:p>
    <w:p w14:paraId="32A0A6D7" w14:textId="0CCED00B" w:rsidR="003E0246" w:rsidRPr="003E0246" w:rsidRDefault="003E0246" w:rsidP="003E0246">
      <w:pPr>
        <w:spacing w:after="0" w:line="240" w:lineRule="auto"/>
        <w:rPr>
          <w:rFonts w:eastAsia="Arial"/>
          <w:sz w:val="22"/>
        </w:rPr>
      </w:pPr>
      <w:r w:rsidRPr="003E0246">
        <w:rPr>
          <w:rFonts w:eastAsia="Arial"/>
          <w:sz w:val="22"/>
        </w:rPr>
        <w:t>Em 2023,</w:t>
      </w:r>
      <w:r w:rsidR="00393495">
        <w:rPr>
          <w:rFonts w:eastAsia="Arial"/>
          <w:sz w:val="22"/>
        </w:rPr>
        <w:t xml:space="preserve"> </w:t>
      </w:r>
      <w:r w:rsidR="009323E1" w:rsidRPr="009323E1">
        <w:rPr>
          <w:rFonts w:eastAsia="Arial"/>
          <w:sz w:val="22"/>
        </w:rPr>
        <w:t xml:space="preserve">a Companhia teve um Prejuízo Líquido Ajustado de R$ 111,6 milhões (R$ 152,3 milhões em 2022 e R$ 172,0 milhões em 2021), redução de 26,7% e 49,0%, respectivamente. </w:t>
      </w:r>
    </w:p>
    <w:p w14:paraId="5F8FFB0B" w14:textId="2765A96F" w:rsidR="003E0246" w:rsidRDefault="003E0246" w:rsidP="00087F48">
      <w:pPr>
        <w:pStyle w:val="Ttulo3"/>
        <w:ind w:left="709" w:hanging="709"/>
      </w:pPr>
      <w:bookmarkStart w:id="21" w:name="_Toc161319440"/>
      <w:r w:rsidRPr="00087F48">
        <w:t>EBITDA/LAJIDA</w:t>
      </w:r>
      <w:bookmarkEnd w:id="21"/>
      <w:r w:rsidRPr="00087F48">
        <w:t xml:space="preserve"> </w:t>
      </w:r>
    </w:p>
    <w:tbl>
      <w:tblPr>
        <w:tblW w:w="5000" w:type="pct"/>
        <w:tblCellMar>
          <w:left w:w="70" w:type="dxa"/>
          <w:right w:w="70" w:type="dxa"/>
        </w:tblCellMar>
        <w:tblLook w:val="04A0" w:firstRow="1" w:lastRow="0" w:firstColumn="1" w:lastColumn="0" w:noHBand="0" w:noVBand="1"/>
      </w:tblPr>
      <w:tblGrid>
        <w:gridCol w:w="4247"/>
        <w:gridCol w:w="951"/>
        <w:gridCol w:w="1036"/>
        <w:gridCol w:w="1083"/>
        <w:gridCol w:w="853"/>
        <w:gridCol w:w="902"/>
      </w:tblGrid>
      <w:tr w:rsidR="000C16E8" w:rsidRPr="000C16E8" w14:paraId="4590F172" w14:textId="77777777" w:rsidTr="004E1C02">
        <w:trPr>
          <w:trHeight w:val="238"/>
        </w:trPr>
        <w:tc>
          <w:tcPr>
            <w:tcW w:w="2340" w:type="pct"/>
            <w:tcBorders>
              <w:top w:val="single" w:sz="8" w:space="0" w:color="8EA9DB"/>
              <w:left w:val="nil"/>
              <w:bottom w:val="single" w:sz="8" w:space="0" w:color="8EA9DB"/>
              <w:right w:val="nil"/>
            </w:tcBorders>
            <w:shd w:val="clear" w:color="auto" w:fill="auto"/>
            <w:noWrap/>
            <w:vAlign w:val="center"/>
            <w:hideMark/>
          </w:tcPr>
          <w:p w14:paraId="61B3EA79" w14:textId="77777777" w:rsidR="000C16E8" w:rsidRPr="003B40B6" w:rsidRDefault="000C16E8" w:rsidP="000C16E8">
            <w:pPr>
              <w:tabs>
                <w:tab w:val="clear" w:pos="851"/>
              </w:tabs>
              <w:spacing w:before="0" w:after="0" w:line="240" w:lineRule="auto"/>
              <w:jc w:val="left"/>
              <w:rPr>
                <w:rFonts w:ascii="Arial" w:hAnsi="Arial" w:cs="Arial"/>
                <w:b/>
                <w:bCs/>
                <w:color w:val="2F75B5"/>
                <w:sz w:val="16"/>
                <w:szCs w:val="18"/>
                <w:lang w:eastAsia="pt-BR"/>
              </w:rPr>
            </w:pPr>
            <w:r w:rsidRPr="003B40B6">
              <w:rPr>
                <w:rFonts w:ascii="Arial" w:hAnsi="Arial" w:cs="Arial"/>
                <w:b/>
                <w:bCs/>
                <w:color w:val="2F75B5"/>
                <w:sz w:val="16"/>
                <w:szCs w:val="18"/>
                <w:lang w:eastAsia="pt-BR"/>
              </w:rPr>
              <w:t>R$ mil</w:t>
            </w:r>
          </w:p>
        </w:tc>
        <w:tc>
          <w:tcPr>
            <w:tcW w:w="524" w:type="pct"/>
            <w:tcBorders>
              <w:top w:val="single" w:sz="8" w:space="0" w:color="8EA9DB"/>
              <w:left w:val="nil"/>
              <w:bottom w:val="single" w:sz="8" w:space="0" w:color="8EA9DB"/>
              <w:right w:val="nil"/>
            </w:tcBorders>
            <w:shd w:val="clear" w:color="000000" w:fill="FFFFFF"/>
            <w:noWrap/>
            <w:vAlign w:val="center"/>
            <w:hideMark/>
          </w:tcPr>
          <w:p w14:paraId="4E37115A" w14:textId="77777777" w:rsidR="000C16E8" w:rsidRPr="003B40B6" w:rsidRDefault="000C16E8" w:rsidP="000C16E8">
            <w:pPr>
              <w:tabs>
                <w:tab w:val="clear" w:pos="851"/>
              </w:tabs>
              <w:spacing w:before="0" w:after="0" w:line="240" w:lineRule="auto"/>
              <w:jc w:val="center"/>
              <w:rPr>
                <w:rFonts w:ascii="Arial" w:hAnsi="Arial" w:cs="Arial"/>
                <w:b/>
                <w:bCs/>
                <w:color w:val="2F75B5"/>
                <w:sz w:val="16"/>
                <w:szCs w:val="18"/>
                <w:lang w:eastAsia="pt-BR"/>
              </w:rPr>
            </w:pPr>
            <w:r w:rsidRPr="003B40B6">
              <w:rPr>
                <w:rFonts w:ascii="Arial" w:hAnsi="Arial" w:cs="Arial"/>
                <w:b/>
                <w:bCs/>
                <w:color w:val="2F75B5"/>
                <w:sz w:val="16"/>
                <w:szCs w:val="18"/>
                <w:lang w:eastAsia="pt-BR"/>
              </w:rPr>
              <w:t>2023</w:t>
            </w:r>
          </w:p>
        </w:tc>
        <w:tc>
          <w:tcPr>
            <w:tcW w:w="571" w:type="pct"/>
            <w:tcBorders>
              <w:top w:val="single" w:sz="8" w:space="0" w:color="8EA9DB"/>
              <w:left w:val="nil"/>
              <w:bottom w:val="single" w:sz="8" w:space="0" w:color="8EA9DB"/>
              <w:right w:val="nil"/>
            </w:tcBorders>
            <w:shd w:val="clear" w:color="000000" w:fill="FFFFFF"/>
            <w:noWrap/>
            <w:vAlign w:val="center"/>
            <w:hideMark/>
          </w:tcPr>
          <w:p w14:paraId="31A18B07" w14:textId="77777777" w:rsidR="000C16E8" w:rsidRPr="003B40B6" w:rsidRDefault="000C16E8" w:rsidP="000C16E8">
            <w:pPr>
              <w:tabs>
                <w:tab w:val="clear" w:pos="851"/>
              </w:tabs>
              <w:spacing w:before="0" w:after="0" w:line="240" w:lineRule="auto"/>
              <w:jc w:val="center"/>
              <w:rPr>
                <w:rFonts w:ascii="Arial" w:hAnsi="Arial" w:cs="Arial"/>
                <w:b/>
                <w:bCs/>
                <w:color w:val="2F75B5"/>
                <w:sz w:val="16"/>
                <w:szCs w:val="18"/>
                <w:lang w:eastAsia="pt-BR"/>
              </w:rPr>
            </w:pPr>
            <w:r w:rsidRPr="003B40B6">
              <w:rPr>
                <w:rFonts w:ascii="Arial" w:hAnsi="Arial" w:cs="Arial"/>
                <w:b/>
                <w:bCs/>
                <w:color w:val="2F75B5"/>
                <w:sz w:val="16"/>
                <w:szCs w:val="18"/>
                <w:lang w:eastAsia="pt-BR"/>
              </w:rPr>
              <w:t>2022</w:t>
            </w:r>
          </w:p>
        </w:tc>
        <w:tc>
          <w:tcPr>
            <w:tcW w:w="597" w:type="pct"/>
            <w:tcBorders>
              <w:top w:val="single" w:sz="8" w:space="0" w:color="8EA9DB"/>
              <w:left w:val="nil"/>
              <w:bottom w:val="single" w:sz="8" w:space="0" w:color="8EA9DB"/>
              <w:right w:val="nil"/>
            </w:tcBorders>
            <w:shd w:val="clear" w:color="000000" w:fill="FFFFFF"/>
            <w:noWrap/>
            <w:vAlign w:val="center"/>
            <w:hideMark/>
          </w:tcPr>
          <w:p w14:paraId="1D5F6383" w14:textId="77777777" w:rsidR="000C16E8" w:rsidRPr="003B40B6" w:rsidRDefault="000C16E8" w:rsidP="000C16E8">
            <w:pPr>
              <w:tabs>
                <w:tab w:val="clear" w:pos="851"/>
              </w:tabs>
              <w:spacing w:before="0" w:after="0" w:line="240" w:lineRule="auto"/>
              <w:jc w:val="center"/>
              <w:rPr>
                <w:rFonts w:ascii="Arial" w:hAnsi="Arial" w:cs="Arial"/>
                <w:b/>
                <w:bCs/>
                <w:color w:val="2F75B5"/>
                <w:sz w:val="16"/>
                <w:szCs w:val="18"/>
                <w:lang w:eastAsia="pt-BR"/>
              </w:rPr>
            </w:pPr>
            <w:r w:rsidRPr="003B40B6">
              <w:rPr>
                <w:rFonts w:ascii="Arial" w:hAnsi="Arial" w:cs="Arial"/>
                <w:b/>
                <w:bCs/>
                <w:color w:val="2F75B5"/>
                <w:sz w:val="16"/>
                <w:szCs w:val="18"/>
                <w:lang w:eastAsia="pt-BR"/>
              </w:rPr>
              <w:t>2021</w:t>
            </w:r>
          </w:p>
        </w:tc>
        <w:tc>
          <w:tcPr>
            <w:tcW w:w="470" w:type="pct"/>
            <w:tcBorders>
              <w:top w:val="single" w:sz="8" w:space="0" w:color="9BC2E6"/>
              <w:left w:val="nil"/>
              <w:bottom w:val="single" w:sz="8" w:space="0" w:color="9BC2E6"/>
              <w:right w:val="nil"/>
            </w:tcBorders>
            <w:shd w:val="clear" w:color="000000" w:fill="FFFFFF"/>
            <w:vAlign w:val="center"/>
            <w:hideMark/>
          </w:tcPr>
          <w:p w14:paraId="6F795581" w14:textId="77777777" w:rsidR="000C16E8" w:rsidRPr="003B40B6" w:rsidRDefault="000C16E8" w:rsidP="000C16E8">
            <w:pPr>
              <w:tabs>
                <w:tab w:val="clear" w:pos="851"/>
              </w:tabs>
              <w:spacing w:before="0" w:after="0" w:line="240" w:lineRule="auto"/>
              <w:jc w:val="center"/>
              <w:rPr>
                <w:rFonts w:ascii="Arial" w:hAnsi="Arial" w:cs="Arial"/>
                <w:b/>
                <w:bCs/>
                <w:color w:val="2F75B5"/>
                <w:sz w:val="16"/>
                <w:szCs w:val="18"/>
                <w:lang w:eastAsia="pt-BR"/>
              </w:rPr>
            </w:pPr>
            <w:r w:rsidRPr="003B40B6">
              <w:rPr>
                <w:rFonts w:ascii="Arial" w:hAnsi="Arial" w:cs="Arial"/>
                <w:b/>
                <w:bCs/>
                <w:color w:val="2F75B5"/>
                <w:sz w:val="16"/>
                <w:szCs w:val="18"/>
                <w:lang w:eastAsia="pt-BR"/>
              </w:rPr>
              <w:t>Δ 2023 X 2022</w:t>
            </w:r>
          </w:p>
        </w:tc>
        <w:tc>
          <w:tcPr>
            <w:tcW w:w="497" w:type="pct"/>
            <w:tcBorders>
              <w:top w:val="single" w:sz="8" w:space="0" w:color="9BC2E6"/>
              <w:left w:val="nil"/>
              <w:bottom w:val="single" w:sz="8" w:space="0" w:color="9BC2E6"/>
              <w:right w:val="nil"/>
            </w:tcBorders>
            <w:shd w:val="clear" w:color="000000" w:fill="FFFFFF"/>
            <w:vAlign w:val="center"/>
            <w:hideMark/>
          </w:tcPr>
          <w:p w14:paraId="1CD2298E" w14:textId="77777777" w:rsidR="000C16E8" w:rsidRPr="003B40B6" w:rsidRDefault="000C16E8" w:rsidP="000C16E8">
            <w:pPr>
              <w:tabs>
                <w:tab w:val="clear" w:pos="851"/>
              </w:tabs>
              <w:spacing w:before="0" w:after="0" w:line="240" w:lineRule="auto"/>
              <w:jc w:val="center"/>
              <w:rPr>
                <w:rFonts w:ascii="Arial" w:hAnsi="Arial" w:cs="Arial"/>
                <w:b/>
                <w:bCs/>
                <w:color w:val="2F75B5"/>
                <w:sz w:val="16"/>
                <w:szCs w:val="18"/>
                <w:lang w:eastAsia="pt-BR"/>
              </w:rPr>
            </w:pPr>
            <w:r w:rsidRPr="003B40B6">
              <w:rPr>
                <w:rFonts w:ascii="Arial" w:hAnsi="Arial" w:cs="Arial"/>
                <w:b/>
                <w:bCs/>
                <w:color w:val="2F75B5"/>
                <w:sz w:val="16"/>
                <w:szCs w:val="18"/>
                <w:lang w:eastAsia="pt-BR"/>
              </w:rPr>
              <w:t>Δ 2023 X 2021</w:t>
            </w:r>
          </w:p>
        </w:tc>
      </w:tr>
      <w:tr w:rsidR="000C16E8" w:rsidRPr="000C16E8" w14:paraId="622C34E0" w14:textId="77777777" w:rsidTr="004E1C02">
        <w:trPr>
          <w:trHeight w:val="238"/>
        </w:trPr>
        <w:tc>
          <w:tcPr>
            <w:tcW w:w="2340" w:type="pct"/>
            <w:tcBorders>
              <w:top w:val="nil"/>
              <w:left w:val="nil"/>
              <w:bottom w:val="nil"/>
              <w:right w:val="nil"/>
            </w:tcBorders>
            <w:shd w:val="clear" w:color="auto" w:fill="auto"/>
            <w:noWrap/>
            <w:vAlign w:val="center"/>
            <w:hideMark/>
          </w:tcPr>
          <w:p w14:paraId="648B797B" w14:textId="77777777" w:rsidR="000C16E8" w:rsidRPr="003B40B6" w:rsidRDefault="000C16E8" w:rsidP="000C16E8">
            <w:pPr>
              <w:tabs>
                <w:tab w:val="clear" w:pos="851"/>
              </w:tabs>
              <w:spacing w:before="0" w:after="0" w:line="240" w:lineRule="auto"/>
              <w:jc w:val="left"/>
              <w:rPr>
                <w:rFonts w:ascii="Arial" w:hAnsi="Arial" w:cs="Arial"/>
                <w:b/>
                <w:bCs/>
                <w:color w:val="000000"/>
                <w:sz w:val="16"/>
                <w:szCs w:val="18"/>
                <w:lang w:eastAsia="pt-BR"/>
              </w:rPr>
            </w:pPr>
            <w:r w:rsidRPr="003B40B6">
              <w:rPr>
                <w:rFonts w:ascii="Arial" w:hAnsi="Arial" w:cs="Arial"/>
                <w:b/>
                <w:bCs/>
                <w:color w:val="000000"/>
                <w:sz w:val="16"/>
                <w:szCs w:val="18"/>
                <w:lang w:eastAsia="pt-BR"/>
              </w:rPr>
              <w:t>Prejuízo Líquido do Exercício</w:t>
            </w:r>
          </w:p>
        </w:tc>
        <w:tc>
          <w:tcPr>
            <w:tcW w:w="524" w:type="pct"/>
            <w:tcBorders>
              <w:top w:val="nil"/>
              <w:left w:val="nil"/>
              <w:bottom w:val="nil"/>
              <w:right w:val="nil"/>
            </w:tcBorders>
            <w:shd w:val="clear" w:color="auto" w:fill="auto"/>
            <w:noWrap/>
            <w:vAlign w:val="center"/>
            <w:hideMark/>
          </w:tcPr>
          <w:p w14:paraId="55C04012"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(127.357)</w:t>
            </w:r>
          </w:p>
        </w:tc>
        <w:tc>
          <w:tcPr>
            <w:tcW w:w="571" w:type="pct"/>
            <w:tcBorders>
              <w:top w:val="nil"/>
              <w:left w:val="nil"/>
              <w:bottom w:val="nil"/>
              <w:right w:val="nil"/>
            </w:tcBorders>
            <w:shd w:val="clear" w:color="auto" w:fill="auto"/>
            <w:noWrap/>
            <w:vAlign w:val="center"/>
            <w:hideMark/>
          </w:tcPr>
          <w:p w14:paraId="4B66CAF4"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(168.459)</w:t>
            </w:r>
          </w:p>
        </w:tc>
        <w:tc>
          <w:tcPr>
            <w:tcW w:w="597" w:type="pct"/>
            <w:tcBorders>
              <w:top w:val="nil"/>
              <w:left w:val="nil"/>
              <w:bottom w:val="nil"/>
              <w:right w:val="nil"/>
            </w:tcBorders>
            <w:shd w:val="clear" w:color="auto" w:fill="auto"/>
            <w:noWrap/>
            <w:vAlign w:val="center"/>
            <w:hideMark/>
          </w:tcPr>
          <w:p w14:paraId="4184D95E"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(163.013)</w:t>
            </w:r>
          </w:p>
        </w:tc>
        <w:tc>
          <w:tcPr>
            <w:tcW w:w="470" w:type="pct"/>
            <w:tcBorders>
              <w:top w:val="nil"/>
              <w:left w:val="nil"/>
              <w:bottom w:val="nil"/>
              <w:right w:val="nil"/>
            </w:tcBorders>
            <w:shd w:val="clear" w:color="auto" w:fill="auto"/>
            <w:noWrap/>
            <w:vAlign w:val="center"/>
            <w:hideMark/>
          </w:tcPr>
          <w:p w14:paraId="2093C61D"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-24,4%</w:t>
            </w:r>
          </w:p>
        </w:tc>
        <w:tc>
          <w:tcPr>
            <w:tcW w:w="497" w:type="pct"/>
            <w:tcBorders>
              <w:top w:val="nil"/>
              <w:left w:val="nil"/>
              <w:bottom w:val="nil"/>
              <w:right w:val="nil"/>
            </w:tcBorders>
            <w:shd w:val="clear" w:color="auto" w:fill="auto"/>
            <w:noWrap/>
            <w:vAlign w:val="center"/>
            <w:hideMark/>
          </w:tcPr>
          <w:p w14:paraId="60240DA4"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-21,9%</w:t>
            </w:r>
          </w:p>
        </w:tc>
      </w:tr>
      <w:tr w:rsidR="000C16E8" w:rsidRPr="000C16E8" w14:paraId="76BBB757" w14:textId="77777777" w:rsidTr="004E1C02">
        <w:trPr>
          <w:trHeight w:val="238"/>
        </w:trPr>
        <w:tc>
          <w:tcPr>
            <w:tcW w:w="2340" w:type="pct"/>
            <w:tcBorders>
              <w:top w:val="nil"/>
              <w:left w:val="nil"/>
              <w:bottom w:val="nil"/>
              <w:right w:val="nil"/>
            </w:tcBorders>
            <w:shd w:val="clear" w:color="auto" w:fill="auto"/>
            <w:noWrap/>
            <w:vAlign w:val="center"/>
            <w:hideMark/>
          </w:tcPr>
          <w:p w14:paraId="54F56F95" w14:textId="77777777" w:rsidR="000C16E8" w:rsidRPr="003B40B6" w:rsidRDefault="000C16E8" w:rsidP="000C16E8">
            <w:pPr>
              <w:tabs>
                <w:tab w:val="clear" w:pos="851"/>
              </w:tabs>
              <w:spacing w:before="0" w:after="0" w:line="240" w:lineRule="auto"/>
              <w:jc w:val="left"/>
              <w:rPr>
                <w:rFonts w:ascii="Arial" w:hAnsi="Arial" w:cs="Arial"/>
                <w:color w:val="000000"/>
                <w:sz w:val="16"/>
                <w:szCs w:val="18"/>
                <w:lang w:eastAsia="pt-BR"/>
              </w:rPr>
            </w:pPr>
            <w:r w:rsidRPr="003B40B6">
              <w:rPr>
                <w:rFonts w:ascii="Arial" w:hAnsi="Arial" w:cs="Arial"/>
                <w:color w:val="000000"/>
                <w:sz w:val="16"/>
                <w:szCs w:val="18"/>
                <w:lang w:eastAsia="pt-BR"/>
              </w:rPr>
              <w:t>(+/-) Resultado Financeiro</w:t>
            </w:r>
          </w:p>
        </w:tc>
        <w:tc>
          <w:tcPr>
            <w:tcW w:w="524" w:type="pct"/>
            <w:tcBorders>
              <w:top w:val="nil"/>
              <w:left w:val="nil"/>
              <w:bottom w:val="nil"/>
              <w:right w:val="nil"/>
            </w:tcBorders>
            <w:shd w:val="clear" w:color="auto" w:fill="auto"/>
            <w:noWrap/>
            <w:vAlign w:val="center"/>
            <w:hideMark/>
          </w:tcPr>
          <w:p w14:paraId="66C68AC8"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59.950 </w:t>
            </w:r>
          </w:p>
        </w:tc>
        <w:tc>
          <w:tcPr>
            <w:tcW w:w="571" w:type="pct"/>
            <w:tcBorders>
              <w:top w:val="nil"/>
              <w:left w:val="nil"/>
              <w:bottom w:val="nil"/>
              <w:right w:val="nil"/>
            </w:tcBorders>
            <w:shd w:val="clear" w:color="auto" w:fill="auto"/>
            <w:noWrap/>
            <w:vAlign w:val="center"/>
            <w:hideMark/>
          </w:tcPr>
          <w:p w14:paraId="69C70AD2"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100.148 </w:t>
            </w:r>
          </w:p>
        </w:tc>
        <w:tc>
          <w:tcPr>
            <w:tcW w:w="597" w:type="pct"/>
            <w:tcBorders>
              <w:top w:val="nil"/>
              <w:left w:val="nil"/>
              <w:bottom w:val="nil"/>
              <w:right w:val="nil"/>
            </w:tcBorders>
            <w:shd w:val="clear" w:color="auto" w:fill="auto"/>
            <w:noWrap/>
            <w:vAlign w:val="center"/>
            <w:hideMark/>
          </w:tcPr>
          <w:p w14:paraId="13F71746"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59.891 </w:t>
            </w:r>
          </w:p>
        </w:tc>
        <w:tc>
          <w:tcPr>
            <w:tcW w:w="470" w:type="pct"/>
            <w:tcBorders>
              <w:top w:val="nil"/>
              <w:left w:val="nil"/>
              <w:bottom w:val="nil"/>
              <w:right w:val="nil"/>
            </w:tcBorders>
            <w:shd w:val="clear" w:color="auto" w:fill="auto"/>
            <w:noWrap/>
            <w:vAlign w:val="center"/>
            <w:hideMark/>
          </w:tcPr>
          <w:p w14:paraId="09448B03"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-40,1%</w:t>
            </w:r>
          </w:p>
        </w:tc>
        <w:tc>
          <w:tcPr>
            <w:tcW w:w="497" w:type="pct"/>
            <w:tcBorders>
              <w:top w:val="nil"/>
              <w:left w:val="nil"/>
              <w:bottom w:val="nil"/>
              <w:right w:val="nil"/>
            </w:tcBorders>
            <w:shd w:val="clear" w:color="auto" w:fill="auto"/>
            <w:noWrap/>
            <w:vAlign w:val="center"/>
            <w:hideMark/>
          </w:tcPr>
          <w:p w14:paraId="25959682"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0,1%</w:t>
            </w:r>
          </w:p>
        </w:tc>
      </w:tr>
      <w:tr w:rsidR="000C16E8" w:rsidRPr="000C16E8" w14:paraId="5252CF40" w14:textId="77777777" w:rsidTr="004E1C02">
        <w:trPr>
          <w:trHeight w:val="238"/>
        </w:trPr>
        <w:tc>
          <w:tcPr>
            <w:tcW w:w="2340" w:type="pct"/>
            <w:tcBorders>
              <w:top w:val="nil"/>
              <w:left w:val="nil"/>
              <w:bottom w:val="nil"/>
              <w:right w:val="nil"/>
            </w:tcBorders>
            <w:shd w:val="clear" w:color="auto" w:fill="auto"/>
            <w:noWrap/>
            <w:vAlign w:val="center"/>
            <w:hideMark/>
          </w:tcPr>
          <w:p w14:paraId="1A7574B3" w14:textId="77777777" w:rsidR="000C16E8" w:rsidRPr="003B40B6" w:rsidRDefault="000C16E8" w:rsidP="000C16E8">
            <w:pPr>
              <w:tabs>
                <w:tab w:val="clear" w:pos="851"/>
              </w:tabs>
              <w:spacing w:before="0" w:after="0" w:line="240" w:lineRule="auto"/>
              <w:jc w:val="left"/>
              <w:rPr>
                <w:rFonts w:ascii="Arial" w:hAnsi="Arial" w:cs="Arial"/>
                <w:color w:val="000000"/>
                <w:sz w:val="16"/>
                <w:szCs w:val="18"/>
                <w:lang w:eastAsia="pt-BR"/>
              </w:rPr>
            </w:pPr>
            <w:r w:rsidRPr="003B40B6">
              <w:rPr>
                <w:rFonts w:ascii="Arial" w:hAnsi="Arial" w:cs="Arial"/>
                <w:color w:val="000000"/>
                <w:sz w:val="16"/>
                <w:szCs w:val="18"/>
                <w:lang w:eastAsia="pt-BR"/>
              </w:rPr>
              <w:t>(+) Depreciação e Amortização</w:t>
            </w:r>
          </w:p>
        </w:tc>
        <w:tc>
          <w:tcPr>
            <w:tcW w:w="524" w:type="pct"/>
            <w:tcBorders>
              <w:top w:val="nil"/>
              <w:left w:val="nil"/>
              <w:bottom w:val="nil"/>
              <w:right w:val="nil"/>
            </w:tcBorders>
            <w:shd w:val="clear" w:color="auto" w:fill="auto"/>
            <w:noWrap/>
            <w:vAlign w:val="center"/>
            <w:hideMark/>
          </w:tcPr>
          <w:p w14:paraId="270AC6AE"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253.540 </w:t>
            </w:r>
          </w:p>
        </w:tc>
        <w:tc>
          <w:tcPr>
            <w:tcW w:w="571" w:type="pct"/>
            <w:tcBorders>
              <w:top w:val="nil"/>
              <w:left w:val="nil"/>
              <w:bottom w:val="nil"/>
              <w:right w:val="nil"/>
            </w:tcBorders>
            <w:shd w:val="clear" w:color="auto" w:fill="auto"/>
            <w:noWrap/>
            <w:vAlign w:val="center"/>
            <w:hideMark/>
          </w:tcPr>
          <w:p w14:paraId="6374B7E8"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242.087 </w:t>
            </w:r>
          </w:p>
        </w:tc>
        <w:tc>
          <w:tcPr>
            <w:tcW w:w="597" w:type="pct"/>
            <w:tcBorders>
              <w:top w:val="nil"/>
              <w:left w:val="nil"/>
              <w:bottom w:val="nil"/>
              <w:right w:val="nil"/>
            </w:tcBorders>
            <w:shd w:val="clear" w:color="auto" w:fill="auto"/>
            <w:noWrap/>
            <w:vAlign w:val="center"/>
            <w:hideMark/>
          </w:tcPr>
          <w:p w14:paraId="0FC0300D"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254.336 </w:t>
            </w:r>
          </w:p>
        </w:tc>
        <w:tc>
          <w:tcPr>
            <w:tcW w:w="470" w:type="pct"/>
            <w:tcBorders>
              <w:top w:val="nil"/>
              <w:left w:val="nil"/>
              <w:bottom w:val="nil"/>
              <w:right w:val="nil"/>
            </w:tcBorders>
            <w:shd w:val="clear" w:color="auto" w:fill="auto"/>
            <w:noWrap/>
            <w:vAlign w:val="center"/>
            <w:hideMark/>
          </w:tcPr>
          <w:p w14:paraId="5B00245C"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4,7%</w:t>
            </w:r>
          </w:p>
        </w:tc>
        <w:tc>
          <w:tcPr>
            <w:tcW w:w="497" w:type="pct"/>
            <w:tcBorders>
              <w:top w:val="nil"/>
              <w:left w:val="nil"/>
              <w:bottom w:val="nil"/>
              <w:right w:val="nil"/>
            </w:tcBorders>
            <w:shd w:val="clear" w:color="auto" w:fill="auto"/>
            <w:noWrap/>
            <w:vAlign w:val="center"/>
            <w:hideMark/>
          </w:tcPr>
          <w:p w14:paraId="2F7FBBC2"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-0,3%</w:t>
            </w:r>
          </w:p>
        </w:tc>
      </w:tr>
      <w:tr w:rsidR="000C16E8" w:rsidRPr="000C16E8" w14:paraId="3846E7A6" w14:textId="77777777" w:rsidTr="004E1C02">
        <w:trPr>
          <w:trHeight w:val="238"/>
        </w:trPr>
        <w:tc>
          <w:tcPr>
            <w:tcW w:w="2340" w:type="pct"/>
            <w:tcBorders>
              <w:top w:val="single" w:sz="8" w:space="0" w:color="9BC2E6"/>
              <w:left w:val="nil"/>
              <w:bottom w:val="single" w:sz="8" w:space="0" w:color="9BC2E6"/>
              <w:right w:val="nil"/>
            </w:tcBorders>
            <w:shd w:val="clear" w:color="auto" w:fill="auto"/>
            <w:noWrap/>
            <w:vAlign w:val="center"/>
            <w:hideMark/>
          </w:tcPr>
          <w:p w14:paraId="4DE5B8EB" w14:textId="77777777" w:rsidR="000C16E8" w:rsidRPr="003B40B6" w:rsidRDefault="000C16E8" w:rsidP="000C16E8">
            <w:pPr>
              <w:tabs>
                <w:tab w:val="clear" w:pos="851"/>
              </w:tabs>
              <w:spacing w:before="0" w:after="0" w:line="240" w:lineRule="auto"/>
              <w:jc w:val="left"/>
              <w:rPr>
                <w:rFonts w:ascii="Arial" w:hAnsi="Arial" w:cs="Arial"/>
                <w:b/>
                <w:bCs/>
                <w:color w:val="000000"/>
                <w:sz w:val="16"/>
                <w:szCs w:val="18"/>
                <w:lang w:eastAsia="pt-BR"/>
              </w:rPr>
            </w:pPr>
            <w:r w:rsidRPr="003B40B6">
              <w:rPr>
                <w:rFonts w:ascii="Arial" w:hAnsi="Arial" w:cs="Arial"/>
                <w:b/>
                <w:bCs/>
                <w:color w:val="000000"/>
                <w:sz w:val="16"/>
                <w:szCs w:val="18"/>
                <w:lang w:eastAsia="pt-BR"/>
              </w:rPr>
              <w:t>EBITDA</w:t>
            </w:r>
          </w:p>
        </w:tc>
        <w:tc>
          <w:tcPr>
            <w:tcW w:w="524" w:type="pct"/>
            <w:tcBorders>
              <w:top w:val="single" w:sz="8" w:space="0" w:color="9BC2E6"/>
              <w:left w:val="nil"/>
              <w:bottom w:val="single" w:sz="8" w:space="0" w:color="9BC2E6"/>
              <w:right w:val="nil"/>
            </w:tcBorders>
            <w:shd w:val="clear" w:color="auto" w:fill="auto"/>
            <w:noWrap/>
            <w:vAlign w:val="center"/>
            <w:hideMark/>
          </w:tcPr>
          <w:p w14:paraId="00F3F414"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186.133 </w:t>
            </w:r>
          </w:p>
        </w:tc>
        <w:tc>
          <w:tcPr>
            <w:tcW w:w="571" w:type="pct"/>
            <w:tcBorders>
              <w:top w:val="single" w:sz="8" w:space="0" w:color="9BC2E6"/>
              <w:left w:val="nil"/>
              <w:bottom w:val="single" w:sz="8" w:space="0" w:color="9BC2E6"/>
              <w:right w:val="nil"/>
            </w:tcBorders>
            <w:shd w:val="clear" w:color="auto" w:fill="auto"/>
            <w:noWrap/>
            <w:vAlign w:val="center"/>
            <w:hideMark/>
          </w:tcPr>
          <w:p w14:paraId="29E75B8A"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173.776 </w:t>
            </w:r>
          </w:p>
        </w:tc>
        <w:tc>
          <w:tcPr>
            <w:tcW w:w="597" w:type="pct"/>
            <w:tcBorders>
              <w:top w:val="single" w:sz="8" w:space="0" w:color="9BC2E6"/>
              <w:left w:val="nil"/>
              <w:bottom w:val="single" w:sz="8" w:space="0" w:color="9BC2E6"/>
              <w:right w:val="nil"/>
            </w:tcBorders>
            <w:shd w:val="clear" w:color="auto" w:fill="auto"/>
            <w:noWrap/>
            <w:vAlign w:val="center"/>
            <w:hideMark/>
          </w:tcPr>
          <w:p w14:paraId="2BAF806C"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151.214 </w:t>
            </w:r>
          </w:p>
        </w:tc>
        <w:tc>
          <w:tcPr>
            <w:tcW w:w="470" w:type="pct"/>
            <w:tcBorders>
              <w:top w:val="single" w:sz="8" w:space="0" w:color="9BC2E6"/>
              <w:left w:val="nil"/>
              <w:bottom w:val="single" w:sz="8" w:space="0" w:color="9BC2E6"/>
              <w:right w:val="nil"/>
            </w:tcBorders>
            <w:shd w:val="clear" w:color="auto" w:fill="auto"/>
            <w:noWrap/>
            <w:vAlign w:val="center"/>
            <w:hideMark/>
          </w:tcPr>
          <w:p w14:paraId="06DE7290"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7,1%</w:t>
            </w:r>
          </w:p>
        </w:tc>
        <w:tc>
          <w:tcPr>
            <w:tcW w:w="497" w:type="pct"/>
            <w:tcBorders>
              <w:top w:val="single" w:sz="8" w:space="0" w:color="9BC2E6"/>
              <w:left w:val="nil"/>
              <w:bottom w:val="single" w:sz="8" w:space="0" w:color="9BC2E6"/>
              <w:right w:val="nil"/>
            </w:tcBorders>
            <w:shd w:val="clear" w:color="auto" w:fill="auto"/>
            <w:noWrap/>
            <w:vAlign w:val="center"/>
            <w:hideMark/>
          </w:tcPr>
          <w:p w14:paraId="1EDDA670"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23,1%</w:t>
            </w:r>
          </w:p>
        </w:tc>
      </w:tr>
      <w:tr w:rsidR="000C16E8" w:rsidRPr="000C16E8" w14:paraId="1ED334D8" w14:textId="77777777" w:rsidTr="004E1C02">
        <w:trPr>
          <w:trHeight w:val="238"/>
        </w:trPr>
        <w:tc>
          <w:tcPr>
            <w:tcW w:w="2340" w:type="pct"/>
            <w:tcBorders>
              <w:top w:val="nil"/>
              <w:left w:val="nil"/>
              <w:bottom w:val="nil"/>
              <w:right w:val="nil"/>
            </w:tcBorders>
            <w:shd w:val="clear" w:color="auto" w:fill="auto"/>
            <w:noWrap/>
            <w:vAlign w:val="center"/>
            <w:hideMark/>
          </w:tcPr>
          <w:p w14:paraId="13319C0B" w14:textId="77777777" w:rsidR="000C16E8" w:rsidRPr="003B40B6" w:rsidRDefault="000C16E8" w:rsidP="000C16E8">
            <w:pPr>
              <w:tabs>
                <w:tab w:val="clear" w:pos="851"/>
              </w:tabs>
              <w:spacing w:before="0" w:after="0" w:line="240" w:lineRule="auto"/>
              <w:jc w:val="left"/>
              <w:rPr>
                <w:rFonts w:ascii="Arial" w:hAnsi="Arial" w:cs="Arial"/>
                <w:b/>
                <w:bCs/>
                <w:color w:val="000000"/>
                <w:sz w:val="16"/>
                <w:szCs w:val="18"/>
                <w:lang w:eastAsia="pt-BR"/>
              </w:rPr>
            </w:pPr>
            <w:r w:rsidRPr="003B40B6">
              <w:rPr>
                <w:rFonts w:ascii="Arial" w:hAnsi="Arial" w:cs="Arial"/>
                <w:b/>
                <w:bCs/>
                <w:color w:val="000000"/>
                <w:sz w:val="16"/>
                <w:szCs w:val="18"/>
                <w:lang w:eastAsia="pt-BR"/>
              </w:rPr>
              <w:t>Ajustes:</w:t>
            </w:r>
          </w:p>
        </w:tc>
        <w:tc>
          <w:tcPr>
            <w:tcW w:w="524" w:type="pct"/>
            <w:tcBorders>
              <w:top w:val="nil"/>
              <w:left w:val="nil"/>
              <w:bottom w:val="nil"/>
              <w:right w:val="nil"/>
            </w:tcBorders>
            <w:shd w:val="clear" w:color="auto" w:fill="auto"/>
            <w:noWrap/>
            <w:vAlign w:val="center"/>
            <w:hideMark/>
          </w:tcPr>
          <w:p w14:paraId="713C0DC9" w14:textId="77777777" w:rsidR="000C16E8" w:rsidRPr="003B40B6" w:rsidRDefault="000C16E8" w:rsidP="000C16E8">
            <w:pPr>
              <w:tabs>
                <w:tab w:val="clear" w:pos="851"/>
              </w:tabs>
              <w:spacing w:before="0" w:after="0" w:line="240" w:lineRule="auto"/>
              <w:jc w:val="left"/>
              <w:rPr>
                <w:rFonts w:ascii="Arial" w:hAnsi="Arial" w:cs="Arial"/>
                <w:b/>
                <w:bCs/>
                <w:color w:val="000000"/>
                <w:sz w:val="16"/>
                <w:szCs w:val="18"/>
                <w:lang w:eastAsia="pt-BR"/>
              </w:rPr>
            </w:pPr>
          </w:p>
        </w:tc>
        <w:tc>
          <w:tcPr>
            <w:tcW w:w="571" w:type="pct"/>
            <w:tcBorders>
              <w:top w:val="nil"/>
              <w:left w:val="nil"/>
              <w:bottom w:val="nil"/>
              <w:right w:val="nil"/>
            </w:tcBorders>
            <w:shd w:val="clear" w:color="auto" w:fill="auto"/>
            <w:noWrap/>
            <w:vAlign w:val="center"/>
            <w:hideMark/>
          </w:tcPr>
          <w:p w14:paraId="27E9D647" w14:textId="77777777" w:rsidR="000C16E8" w:rsidRPr="003B40B6" w:rsidRDefault="000C16E8" w:rsidP="000C16E8">
            <w:pPr>
              <w:tabs>
                <w:tab w:val="clear" w:pos="851"/>
              </w:tabs>
              <w:spacing w:before="0" w:after="0" w:line="240" w:lineRule="auto"/>
              <w:jc w:val="left"/>
              <w:rPr>
                <w:rFonts w:ascii="Times New Roman" w:hAnsi="Times New Roman"/>
                <w:color w:val="auto"/>
                <w:sz w:val="16"/>
                <w:szCs w:val="20"/>
                <w:lang w:eastAsia="pt-BR"/>
              </w:rPr>
            </w:pPr>
          </w:p>
        </w:tc>
        <w:tc>
          <w:tcPr>
            <w:tcW w:w="597" w:type="pct"/>
            <w:tcBorders>
              <w:top w:val="nil"/>
              <w:left w:val="nil"/>
              <w:bottom w:val="nil"/>
              <w:right w:val="nil"/>
            </w:tcBorders>
            <w:shd w:val="clear" w:color="auto" w:fill="auto"/>
            <w:noWrap/>
            <w:vAlign w:val="center"/>
            <w:hideMark/>
          </w:tcPr>
          <w:p w14:paraId="50CE17D1" w14:textId="77777777" w:rsidR="000C16E8" w:rsidRPr="003B40B6" w:rsidRDefault="000C16E8" w:rsidP="000C16E8">
            <w:pPr>
              <w:tabs>
                <w:tab w:val="clear" w:pos="851"/>
              </w:tabs>
              <w:spacing w:before="0" w:after="0" w:line="240" w:lineRule="auto"/>
              <w:jc w:val="left"/>
              <w:rPr>
                <w:rFonts w:ascii="Times New Roman" w:hAnsi="Times New Roman"/>
                <w:color w:val="auto"/>
                <w:sz w:val="16"/>
                <w:szCs w:val="20"/>
                <w:lang w:eastAsia="pt-BR"/>
              </w:rPr>
            </w:pPr>
          </w:p>
        </w:tc>
        <w:tc>
          <w:tcPr>
            <w:tcW w:w="470" w:type="pct"/>
            <w:tcBorders>
              <w:top w:val="nil"/>
              <w:left w:val="nil"/>
              <w:bottom w:val="nil"/>
              <w:right w:val="nil"/>
            </w:tcBorders>
            <w:shd w:val="clear" w:color="auto" w:fill="auto"/>
            <w:noWrap/>
            <w:vAlign w:val="center"/>
            <w:hideMark/>
          </w:tcPr>
          <w:p w14:paraId="0D748558" w14:textId="77777777" w:rsidR="000C16E8" w:rsidRPr="003B40B6" w:rsidRDefault="000C16E8" w:rsidP="000C16E8">
            <w:pPr>
              <w:tabs>
                <w:tab w:val="clear" w:pos="851"/>
              </w:tabs>
              <w:spacing w:before="0" w:after="0" w:line="240" w:lineRule="auto"/>
              <w:jc w:val="left"/>
              <w:rPr>
                <w:rFonts w:ascii="Times New Roman" w:hAnsi="Times New Roman"/>
                <w:color w:val="auto"/>
                <w:sz w:val="16"/>
                <w:szCs w:val="20"/>
                <w:lang w:eastAsia="pt-BR"/>
              </w:rPr>
            </w:pPr>
          </w:p>
        </w:tc>
        <w:tc>
          <w:tcPr>
            <w:tcW w:w="497" w:type="pct"/>
            <w:tcBorders>
              <w:top w:val="nil"/>
              <w:left w:val="nil"/>
              <w:bottom w:val="nil"/>
              <w:right w:val="nil"/>
            </w:tcBorders>
            <w:shd w:val="clear" w:color="auto" w:fill="auto"/>
            <w:noWrap/>
            <w:vAlign w:val="center"/>
            <w:hideMark/>
          </w:tcPr>
          <w:p w14:paraId="4A2C4155" w14:textId="77777777" w:rsidR="000C16E8" w:rsidRPr="003B40B6" w:rsidRDefault="000C16E8" w:rsidP="000C16E8">
            <w:pPr>
              <w:tabs>
                <w:tab w:val="clear" w:pos="851"/>
              </w:tabs>
              <w:spacing w:before="0" w:after="0" w:line="240" w:lineRule="auto"/>
              <w:jc w:val="left"/>
              <w:rPr>
                <w:rFonts w:ascii="Times New Roman" w:hAnsi="Times New Roman"/>
                <w:color w:val="auto"/>
                <w:sz w:val="16"/>
                <w:szCs w:val="20"/>
                <w:lang w:eastAsia="pt-BR"/>
              </w:rPr>
            </w:pPr>
          </w:p>
        </w:tc>
      </w:tr>
      <w:tr w:rsidR="000C16E8" w:rsidRPr="000C16E8" w14:paraId="48245559" w14:textId="77777777" w:rsidTr="004E1C02">
        <w:trPr>
          <w:trHeight w:val="238"/>
        </w:trPr>
        <w:tc>
          <w:tcPr>
            <w:tcW w:w="2340" w:type="pct"/>
            <w:tcBorders>
              <w:top w:val="nil"/>
              <w:left w:val="nil"/>
              <w:bottom w:val="nil"/>
              <w:right w:val="nil"/>
            </w:tcBorders>
            <w:shd w:val="clear" w:color="auto" w:fill="auto"/>
            <w:noWrap/>
            <w:vAlign w:val="center"/>
            <w:hideMark/>
          </w:tcPr>
          <w:p w14:paraId="279F0994" w14:textId="77777777" w:rsidR="000C16E8" w:rsidRPr="003B40B6" w:rsidRDefault="000C16E8" w:rsidP="000C16E8">
            <w:pPr>
              <w:tabs>
                <w:tab w:val="clear" w:pos="851"/>
              </w:tabs>
              <w:spacing w:before="0" w:after="0" w:line="240" w:lineRule="auto"/>
              <w:jc w:val="left"/>
              <w:rPr>
                <w:rFonts w:ascii="Arial" w:hAnsi="Arial" w:cs="Arial"/>
                <w:color w:val="000000"/>
                <w:sz w:val="16"/>
                <w:szCs w:val="18"/>
                <w:lang w:eastAsia="pt-BR"/>
              </w:rPr>
            </w:pPr>
            <w:r w:rsidRPr="003B40B6">
              <w:rPr>
                <w:rFonts w:ascii="Arial" w:hAnsi="Arial" w:cs="Arial"/>
                <w:color w:val="000000"/>
                <w:sz w:val="16"/>
                <w:szCs w:val="18"/>
                <w:lang w:eastAsia="pt-BR"/>
              </w:rPr>
              <w:t>(-) Ganho na Baixa de Passivos</w:t>
            </w:r>
          </w:p>
        </w:tc>
        <w:tc>
          <w:tcPr>
            <w:tcW w:w="524" w:type="pct"/>
            <w:tcBorders>
              <w:top w:val="nil"/>
              <w:left w:val="nil"/>
              <w:bottom w:val="nil"/>
              <w:right w:val="nil"/>
            </w:tcBorders>
            <w:shd w:val="clear" w:color="auto" w:fill="auto"/>
            <w:noWrap/>
            <w:vAlign w:val="center"/>
            <w:hideMark/>
          </w:tcPr>
          <w:p w14:paraId="1B3F34B5"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(417)</w:t>
            </w:r>
          </w:p>
        </w:tc>
        <w:tc>
          <w:tcPr>
            <w:tcW w:w="571" w:type="pct"/>
            <w:tcBorders>
              <w:top w:val="nil"/>
              <w:left w:val="nil"/>
              <w:bottom w:val="nil"/>
              <w:right w:val="nil"/>
            </w:tcBorders>
            <w:shd w:val="clear" w:color="auto" w:fill="auto"/>
            <w:noWrap/>
            <w:vAlign w:val="center"/>
            <w:hideMark/>
          </w:tcPr>
          <w:p w14:paraId="62D5B13C"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(474)</w:t>
            </w:r>
          </w:p>
        </w:tc>
        <w:tc>
          <w:tcPr>
            <w:tcW w:w="597" w:type="pct"/>
            <w:tcBorders>
              <w:top w:val="nil"/>
              <w:left w:val="nil"/>
              <w:bottom w:val="nil"/>
              <w:right w:val="nil"/>
            </w:tcBorders>
            <w:shd w:val="clear" w:color="auto" w:fill="auto"/>
            <w:noWrap/>
            <w:vAlign w:val="center"/>
            <w:hideMark/>
          </w:tcPr>
          <w:p w14:paraId="3AFD2E74"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(15.501)</w:t>
            </w:r>
          </w:p>
        </w:tc>
        <w:tc>
          <w:tcPr>
            <w:tcW w:w="470" w:type="pct"/>
            <w:tcBorders>
              <w:top w:val="nil"/>
              <w:left w:val="nil"/>
              <w:bottom w:val="nil"/>
              <w:right w:val="nil"/>
            </w:tcBorders>
            <w:shd w:val="clear" w:color="auto" w:fill="auto"/>
            <w:noWrap/>
            <w:vAlign w:val="center"/>
            <w:hideMark/>
          </w:tcPr>
          <w:p w14:paraId="1DEBE1F3"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-12,0%</w:t>
            </w:r>
          </w:p>
        </w:tc>
        <w:tc>
          <w:tcPr>
            <w:tcW w:w="497" w:type="pct"/>
            <w:tcBorders>
              <w:top w:val="nil"/>
              <w:left w:val="nil"/>
              <w:bottom w:val="nil"/>
              <w:right w:val="nil"/>
            </w:tcBorders>
            <w:shd w:val="clear" w:color="auto" w:fill="auto"/>
            <w:noWrap/>
            <w:vAlign w:val="center"/>
            <w:hideMark/>
          </w:tcPr>
          <w:p w14:paraId="7D47D787"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-97,3%</w:t>
            </w:r>
          </w:p>
        </w:tc>
      </w:tr>
      <w:tr w:rsidR="000C16E8" w:rsidRPr="000C16E8" w14:paraId="286156A7" w14:textId="77777777" w:rsidTr="004E1C02">
        <w:trPr>
          <w:trHeight w:val="238"/>
        </w:trPr>
        <w:tc>
          <w:tcPr>
            <w:tcW w:w="2340" w:type="pct"/>
            <w:tcBorders>
              <w:top w:val="nil"/>
              <w:left w:val="nil"/>
              <w:bottom w:val="nil"/>
              <w:right w:val="nil"/>
            </w:tcBorders>
            <w:shd w:val="clear" w:color="auto" w:fill="auto"/>
            <w:noWrap/>
            <w:vAlign w:val="center"/>
            <w:hideMark/>
          </w:tcPr>
          <w:p w14:paraId="34EB0230" w14:textId="77777777" w:rsidR="000C16E8" w:rsidRPr="003B40B6" w:rsidRDefault="000C16E8" w:rsidP="000C16E8">
            <w:pPr>
              <w:tabs>
                <w:tab w:val="clear" w:pos="851"/>
              </w:tabs>
              <w:spacing w:before="0" w:after="0" w:line="240" w:lineRule="auto"/>
              <w:jc w:val="left"/>
              <w:rPr>
                <w:rFonts w:ascii="Arial" w:hAnsi="Arial" w:cs="Arial"/>
                <w:color w:val="000000"/>
                <w:sz w:val="16"/>
                <w:szCs w:val="18"/>
                <w:lang w:eastAsia="pt-BR"/>
              </w:rPr>
            </w:pPr>
            <w:r w:rsidRPr="003B40B6">
              <w:rPr>
                <w:rFonts w:ascii="Arial" w:hAnsi="Arial" w:cs="Arial"/>
                <w:color w:val="000000"/>
                <w:sz w:val="16"/>
                <w:szCs w:val="18"/>
                <w:lang w:eastAsia="pt-BR"/>
              </w:rPr>
              <w:t>(-) Superávit de Previdência Privada</w:t>
            </w:r>
          </w:p>
        </w:tc>
        <w:tc>
          <w:tcPr>
            <w:tcW w:w="524" w:type="pct"/>
            <w:tcBorders>
              <w:top w:val="nil"/>
              <w:left w:val="nil"/>
              <w:bottom w:val="nil"/>
              <w:right w:val="nil"/>
            </w:tcBorders>
            <w:shd w:val="clear" w:color="auto" w:fill="auto"/>
            <w:noWrap/>
            <w:vAlign w:val="center"/>
            <w:hideMark/>
          </w:tcPr>
          <w:p w14:paraId="36BFB086"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(33.912)</w:t>
            </w:r>
          </w:p>
        </w:tc>
        <w:tc>
          <w:tcPr>
            <w:tcW w:w="571" w:type="pct"/>
            <w:tcBorders>
              <w:top w:val="nil"/>
              <w:left w:val="nil"/>
              <w:bottom w:val="nil"/>
              <w:right w:val="nil"/>
            </w:tcBorders>
            <w:shd w:val="clear" w:color="auto" w:fill="auto"/>
            <w:noWrap/>
            <w:vAlign w:val="center"/>
            <w:hideMark/>
          </w:tcPr>
          <w:p w14:paraId="72E3CA49"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97" w:type="pct"/>
            <w:tcBorders>
              <w:top w:val="nil"/>
              <w:left w:val="nil"/>
              <w:bottom w:val="nil"/>
              <w:right w:val="nil"/>
            </w:tcBorders>
            <w:shd w:val="clear" w:color="auto" w:fill="auto"/>
            <w:noWrap/>
            <w:vAlign w:val="center"/>
            <w:hideMark/>
          </w:tcPr>
          <w:p w14:paraId="27D448E8"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470" w:type="pct"/>
            <w:tcBorders>
              <w:top w:val="nil"/>
              <w:left w:val="nil"/>
              <w:bottom w:val="nil"/>
              <w:right w:val="nil"/>
            </w:tcBorders>
            <w:shd w:val="clear" w:color="auto" w:fill="auto"/>
            <w:noWrap/>
            <w:vAlign w:val="center"/>
            <w:hideMark/>
          </w:tcPr>
          <w:p w14:paraId="15FDC5D3"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c>
          <w:tcPr>
            <w:tcW w:w="497" w:type="pct"/>
            <w:tcBorders>
              <w:top w:val="nil"/>
              <w:left w:val="nil"/>
              <w:bottom w:val="nil"/>
              <w:right w:val="nil"/>
            </w:tcBorders>
            <w:shd w:val="clear" w:color="auto" w:fill="auto"/>
            <w:noWrap/>
            <w:vAlign w:val="center"/>
            <w:hideMark/>
          </w:tcPr>
          <w:p w14:paraId="439AE573"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r>
      <w:tr w:rsidR="000C16E8" w:rsidRPr="000C16E8" w14:paraId="7916B1CC" w14:textId="77777777" w:rsidTr="004E1C02">
        <w:trPr>
          <w:trHeight w:val="238"/>
        </w:trPr>
        <w:tc>
          <w:tcPr>
            <w:tcW w:w="2340" w:type="pct"/>
            <w:tcBorders>
              <w:top w:val="nil"/>
              <w:left w:val="nil"/>
              <w:bottom w:val="nil"/>
              <w:right w:val="nil"/>
            </w:tcBorders>
            <w:shd w:val="clear" w:color="auto" w:fill="auto"/>
            <w:noWrap/>
            <w:vAlign w:val="center"/>
            <w:hideMark/>
          </w:tcPr>
          <w:p w14:paraId="39461165" w14:textId="77777777" w:rsidR="000C16E8" w:rsidRPr="003B40B6" w:rsidRDefault="000C16E8" w:rsidP="000C16E8">
            <w:pPr>
              <w:tabs>
                <w:tab w:val="clear" w:pos="851"/>
              </w:tabs>
              <w:spacing w:before="0" w:after="0" w:line="240" w:lineRule="auto"/>
              <w:jc w:val="left"/>
              <w:rPr>
                <w:rFonts w:ascii="Arial" w:hAnsi="Arial" w:cs="Arial"/>
                <w:color w:val="000000"/>
                <w:sz w:val="16"/>
                <w:szCs w:val="18"/>
                <w:lang w:eastAsia="pt-BR"/>
              </w:rPr>
            </w:pPr>
            <w:r w:rsidRPr="003B40B6">
              <w:rPr>
                <w:rFonts w:ascii="Arial" w:hAnsi="Arial" w:cs="Arial"/>
                <w:color w:val="000000"/>
                <w:sz w:val="16"/>
                <w:szCs w:val="18"/>
                <w:lang w:eastAsia="pt-BR"/>
              </w:rPr>
              <w:t>(+) Tributos sobre Superávit de Previdência Privada</w:t>
            </w:r>
          </w:p>
        </w:tc>
        <w:tc>
          <w:tcPr>
            <w:tcW w:w="524" w:type="pct"/>
            <w:tcBorders>
              <w:top w:val="nil"/>
              <w:left w:val="nil"/>
              <w:bottom w:val="nil"/>
              <w:right w:val="nil"/>
            </w:tcBorders>
            <w:shd w:val="clear" w:color="auto" w:fill="auto"/>
            <w:noWrap/>
            <w:vAlign w:val="center"/>
            <w:hideMark/>
          </w:tcPr>
          <w:p w14:paraId="50162988"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3.137 </w:t>
            </w:r>
          </w:p>
        </w:tc>
        <w:tc>
          <w:tcPr>
            <w:tcW w:w="571" w:type="pct"/>
            <w:tcBorders>
              <w:top w:val="nil"/>
              <w:left w:val="nil"/>
              <w:bottom w:val="nil"/>
              <w:right w:val="nil"/>
            </w:tcBorders>
            <w:shd w:val="clear" w:color="auto" w:fill="auto"/>
            <w:noWrap/>
            <w:vAlign w:val="center"/>
            <w:hideMark/>
          </w:tcPr>
          <w:p w14:paraId="7D441813"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97" w:type="pct"/>
            <w:tcBorders>
              <w:top w:val="nil"/>
              <w:left w:val="nil"/>
              <w:bottom w:val="nil"/>
              <w:right w:val="nil"/>
            </w:tcBorders>
            <w:shd w:val="clear" w:color="auto" w:fill="auto"/>
            <w:noWrap/>
            <w:vAlign w:val="center"/>
            <w:hideMark/>
          </w:tcPr>
          <w:p w14:paraId="385C90A8"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470" w:type="pct"/>
            <w:tcBorders>
              <w:top w:val="nil"/>
              <w:left w:val="nil"/>
              <w:bottom w:val="nil"/>
              <w:right w:val="nil"/>
            </w:tcBorders>
            <w:shd w:val="clear" w:color="auto" w:fill="auto"/>
            <w:noWrap/>
            <w:vAlign w:val="center"/>
            <w:hideMark/>
          </w:tcPr>
          <w:p w14:paraId="52264B55"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c>
          <w:tcPr>
            <w:tcW w:w="497" w:type="pct"/>
            <w:tcBorders>
              <w:top w:val="nil"/>
              <w:left w:val="nil"/>
              <w:bottom w:val="nil"/>
              <w:right w:val="nil"/>
            </w:tcBorders>
            <w:shd w:val="clear" w:color="auto" w:fill="auto"/>
            <w:noWrap/>
            <w:vAlign w:val="center"/>
            <w:hideMark/>
          </w:tcPr>
          <w:p w14:paraId="2224CE9A"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r>
      <w:tr w:rsidR="000C16E8" w:rsidRPr="000C16E8" w14:paraId="1D74912C" w14:textId="77777777" w:rsidTr="004E1C02">
        <w:trPr>
          <w:trHeight w:val="238"/>
        </w:trPr>
        <w:tc>
          <w:tcPr>
            <w:tcW w:w="2340" w:type="pct"/>
            <w:tcBorders>
              <w:top w:val="nil"/>
              <w:left w:val="nil"/>
              <w:bottom w:val="nil"/>
              <w:right w:val="nil"/>
            </w:tcBorders>
            <w:shd w:val="clear" w:color="auto" w:fill="auto"/>
            <w:noWrap/>
            <w:vAlign w:val="center"/>
            <w:hideMark/>
          </w:tcPr>
          <w:p w14:paraId="76AFE6BA" w14:textId="77777777" w:rsidR="000C16E8" w:rsidRPr="003B40B6" w:rsidRDefault="000C16E8" w:rsidP="000C16E8">
            <w:pPr>
              <w:tabs>
                <w:tab w:val="clear" w:pos="851"/>
              </w:tabs>
              <w:spacing w:before="0" w:after="0" w:line="240" w:lineRule="auto"/>
              <w:jc w:val="left"/>
              <w:rPr>
                <w:rFonts w:ascii="Arial" w:hAnsi="Arial" w:cs="Arial"/>
                <w:color w:val="000000"/>
                <w:sz w:val="16"/>
                <w:szCs w:val="18"/>
                <w:lang w:eastAsia="pt-BR"/>
              </w:rPr>
            </w:pPr>
            <w:r w:rsidRPr="003B40B6">
              <w:rPr>
                <w:rFonts w:ascii="Arial" w:hAnsi="Arial" w:cs="Arial"/>
                <w:color w:val="000000"/>
                <w:sz w:val="16"/>
                <w:szCs w:val="18"/>
                <w:lang w:eastAsia="pt-BR"/>
              </w:rPr>
              <w:t>(+) Baixa de Ativo Imobilizado</w:t>
            </w:r>
          </w:p>
        </w:tc>
        <w:tc>
          <w:tcPr>
            <w:tcW w:w="524" w:type="pct"/>
            <w:tcBorders>
              <w:top w:val="nil"/>
              <w:left w:val="nil"/>
              <w:bottom w:val="nil"/>
              <w:right w:val="nil"/>
            </w:tcBorders>
            <w:shd w:val="clear" w:color="auto" w:fill="auto"/>
            <w:noWrap/>
            <w:vAlign w:val="center"/>
            <w:hideMark/>
          </w:tcPr>
          <w:p w14:paraId="55336514"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383 </w:t>
            </w:r>
          </w:p>
        </w:tc>
        <w:tc>
          <w:tcPr>
            <w:tcW w:w="571" w:type="pct"/>
            <w:tcBorders>
              <w:top w:val="nil"/>
              <w:left w:val="nil"/>
              <w:bottom w:val="nil"/>
              <w:right w:val="nil"/>
            </w:tcBorders>
            <w:shd w:val="clear" w:color="auto" w:fill="auto"/>
            <w:noWrap/>
            <w:vAlign w:val="center"/>
            <w:hideMark/>
          </w:tcPr>
          <w:p w14:paraId="2FB9A5AE"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16.643 </w:t>
            </w:r>
          </w:p>
        </w:tc>
        <w:tc>
          <w:tcPr>
            <w:tcW w:w="597" w:type="pct"/>
            <w:tcBorders>
              <w:top w:val="nil"/>
              <w:left w:val="nil"/>
              <w:bottom w:val="nil"/>
              <w:right w:val="nil"/>
            </w:tcBorders>
            <w:shd w:val="clear" w:color="auto" w:fill="auto"/>
            <w:noWrap/>
            <w:vAlign w:val="center"/>
            <w:hideMark/>
          </w:tcPr>
          <w:p w14:paraId="0015CFE5"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470" w:type="pct"/>
            <w:tcBorders>
              <w:top w:val="nil"/>
              <w:left w:val="nil"/>
              <w:bottom w:val="nil"/>
              <w:right w:val="nil"/>
            </w:tcBorders>
            <w:shd w:val="clear" w:color="auto" w:fill="auto"/>
            <w:noWrap/>
            <w:vAlign w:val="center"/>
            <w:hideMark/>
          </w:tcPr>
          <w:p w14:paraId="5FD522D6"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-97,7%</w:t>
            </w:r>
          </w:p>
        </w:tc>
        <w:tc>
          <w:tcPr>
            <w:tcW w:w="497" w:type="pct"/>
            <w:tcBorders>
              <w:top w:val="nil"/>
              <w:left w:val="nil"/>
              <w:bottom w:val="nil"/>
              <w:right w:val="nil"/>
            </w:tcBorders>
            <w:shd w:val="clear" w:color="auto" w:fill="auto"/>
            <w:noWrap/>
            <w:vAlign w:val="center"/>
            <w:hideMark/>
          </w:tcPr>
          <w:p w14:paraId="0EA650C0"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r>
      <w:tr w:rsidR="000C16E8" w:rsidRPr="000C16E8" w14:paraId="36560604" w14:textId="77777777" w:rsidTr="004E1C02">
        <w:trPr>
          <w:trHeight w:val="238"/>
        </w:trPr>
        <w:tc>
          <w:tcPr>
            <w:tcW w:w="2340" w:type="pct"/>
            <w:tcBorders>
              <w:top w:val="nil"/>
              <w:left w:val="nil"/>
              <w:bottom w:val="nil"/>
              <w:right w:val="nil"/>
            </w:tcBorders>
            <w:shd w:val="clear" w:color="auto" w:fill="auto"/>
            <w:noWrap/>
            <w:vAlign w:val="center"/>
            <w:hideMark/>
          </w:tcPr>
          <w:p w14:paraId="1BF1FA09" w14:textId="77777777" w:rsidR="000C16E8" w:rsidRPr="003B40B6" w:rsidRDefault="000C16E8" w:rsidP="000C16E8">
            <w:pPr>
              <w:tabs>
                <w:tab w:val="clear" w:pos="851"/>
              </w:tabs>
              <w:spacing w:before="0" w:after="0" w:line="240" w:lineRule="auto"/>
              <w:jc w:val="left"/>
              <w:rPr>
                <w:rFonts w:ascii="Arial" w:hAnsi="Arial" w:cs="Arial"/>
                <w:color w:val="000000"/>
                <w:sz w:val="16"/>
                <w:szCs w:val="18"/>
                <w:lang w:eastAsia="pt-BR"/>
              </w:rPr>
            </w:pPr>
            <w:r w:rsidRPr="003B40B6">
              <w:rPr>
                <w:rFonts w:ascii="Arial" w:hAnsi="Arial" w:cs="Arial"/>
                <w:color w:val="000000"/>
                <w:sz w:val="16"/>
                <w:szCs w:val="18"/>
                <w:lang w:eastAsia="pt-BR"/>
              </w:rPr>
              <w:t>(-) Exclusão do ICMS na BC do PIS e COFINS</w:t>
            </w:r>
          </w:p>
        </w:tc>
        <w:tc>
          <w:tcPr>
            <w:tcW w:w="524" w:type="pct"/>
            <w:tcBorders>
              <w:top w:val="nil"/>
              <w:left w:val="nil"/>
              <w:bottom w:val="nil"/>
              <w:right w:val="nil"/>
            </w:tcBorders>
            <w:shd w:val="clear" w:color="auto" w:fill="auto"/>
            <w:noWrap/>
            <w:vAlign w:val="center"/>
            <w:hideMark/>
          </w:tcPr>
          <w:p w14:paraId="2D11F5D3"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71" w:type="pct"/>
            <w:tcBorders>
              <w:top w:val="nil"/>
              <w:left w:val="nil"/>
              <w:bottom w:val="nil"/>
              <w:right w:val="nil"/>
            </w:tcBorders>
            <w:shd w:val="clear" w:color="auto" w:fill="auto"/>
            <w:noWrap/>
            <w:vAlign w:val="center"/>
            <w:hideMark/>
          </w:tcPr>
          <w:p w14:paraId="25106F3A"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97" w:type="pct"/>
            <w:tcBorders>
              <w:top w:val="nil"/>
              <w:left w:val="nil"/>
              <w:bottom w:val="nil"/>
              <w:right w:val="nil"/>
            </w:tcBorders>
            <w:shd w:val="clear" w:color="auto" w:fill="auto"/>
            <w:noWrap/>
            <w:vAlign w:val="center"/>
            <w:hideMark/>
          </w:tcPr>
          <w:p w14:paraId="0287DA2B"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(6.933)</w:t>
            </w:r>
          </w:p>
        </w:tc>
        <w:tc>
          <w:tcPr>
            <w:tcW w:w="470" w:type="pct"/>
            <w:tcBorders>
              <w:top w:val="nil"/>
              <w:left w:val="nil"/>
              <w:bottom w:val="nil"/>
              <w:right w:val="nil"/>
            </w:tcBorders>
            <w:shd w:val="clear" w:color="auto" w:fill="auto"/>
            <w:noWrap/>
            <w:vAlign w:val="center"/>
            <w:hideMark/>
          </w:tcPr>
          <w:p w14:paraId="30C94BC9"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0,0%</w:t>
            </w:r>
          </w:p>
        </w:tc>
        <w:tc>
          <w:tcPr>
            <w:tcW w:w="497" w:type="pct"/>
            <w:tcBorders>
              <w:top w:val="nil"/>
              <w:left w:val="nil"/>
              <w:bottom w:val="nil"/>
              <w:right w:val="nil"/>
            </w:tcBorders>
            <w:shd w:val="clear" w:color="auto" w:fill="auto"/>
            <w:noWrap/>
            <w:vAlign w:val="center"/>
            <w:hideMark/>
          </w:tcPr>
          <w:p w14:paraId="356D1F49"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r>
      <w:tr w:rsidR="000C16E8" w:rsidRPr="000C16E8" w14:paraId="0B1E777E" w14:textId="77777777" w:rsidTr="004E1C02">
        <w:trPr>
          <w:trHeight w:val="238"/>
        </w:trPr>
        <w:tc>
          <w:tcPr>
            <w:tcW w:w="2340" w:type="pct"/>
            <w:tcBorders>
              <w:top w:val="nil"/>
              <w:left w:val="nil"/>
              <w:bottom w:val="nil"/>
              <w:right w:val="nil"/>
            </w:tcBorders>
            <w:shd w:val="clear" w:color="auto" w:fill="auto"/>
            <w:noWrap/>
            <w:vAlign w:val="center"/>
            <w:hideMark/>
          </w:tcPr>
          <w:p w14:paraId="1D31A0C5" w14:textId="77777777" w:rsidR="000C16E8" w:rsidRPr="003B40B6" w:rsidRDefault="000C16E8" w:rsidP="000C16E8">
            <w:pPr>
              <w:tabs>
                <w:tab w:val="clear" w:pos="851"/>
              </w:tabs>
              <w:spacing w:before="0" w:after="0" w:line="240" w:lineRule="auto"/>
              <w:jc w:val="left"/>
              <w:rPr>
                <w:rFonts w:ascii="Arial" w:hAnsi="Arial" w:cs="Arial"/>
                <w:color w:val="000000"/>
                <w:sz w:val="16"/>
                <w:szCs w:val="18"/>
                <w:lang w:eastAsia="pt-BR"/>
              </w:rPr>
            </w:pPr>
            <w:r w:rsidRPr="003B40B6">
              <w:rPr>
                <w:rFonts w:ascii="Arial" w:hAnsi="Arial" w:cs="Arial"/>
                <w:color w:val="000000"/>
                <w:sz w:val="16"/>
                <w:szCs w:val="18"/>
                <w:lang w:eastAsia="pt-BR"/>
              </w:rPr>
              <w:t>(-) Depreciação - CPC 6(R2) / IFRS 16</w:t>
            </w:r>
          </w:p>
        </w:tc>
        <w:tc>
          <w:tcPr>
            <w:tcW w:w="524" w:type="pct"/>
            <w:tcBorders>
              <w:top w:val="nil"/>
              <w:left w:val="nil"/>
              <w:bottom w:val="nil"/>
              <w:right w:val="nil"/>
            </w:tcBorders>
            <w:shd w:val="clear" w:color="auto" w:fill="auto"/>
            <w:noWrap/>
            <w:vAlign w:val="center"/>
            <w:hideMark/>
          </w:tcPr>
          <w:p w14:paraId="13F16CD4"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(5.175)</w:t>
            </w:r>
          </w:p>
        </w:tc>
        <w:tc>
          <w:tcPr>
            <w:tcW w:w="571" w:type="pct"/>
            <w:tcBorders>
              <w:top w:val="nil"/>
              <w:left w:val="nil"/>
              <w:bottom w:val="nil"/>
              <w:right w:val="nil"/>
            </w:tcBorders>
            <w:shd w:val="clear" w:color="auto" w:fill="auto"/>
            <w:noWrap/>
            <w:vAlign w:val="center"/>
            <w:hideMark/>
          </w:tcPr>
          <w:p w14:paraId="2FE8AA87"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(5.006)</w:t>
            </w:r>
          </w:p>
        </w:tc>
        <w:tc>
          <w:tcPr>
            <w:tcW w:w="597" w:type="pct"/>
            <w:tcBorders>
              <w:top w:val="nil"/>
              <w:left w:val="nil"/>
              <w:bottom w:val="nil"/>
              <w:right w:val="nil"/>
            </w:tcBorders>
            <w:shd w:val="clear" w:color="auto" w:fill="auto"/>
            <w:noWrap/>
            <w:vAlign w:val="center"/>
            <w:hideMark/>
          </w:tcPr>
          <w:p w14:paraId="0BE2C8A6"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(4.443)</w:t>
            </w:r>
          </w:p>
        </w:tc>
        <w:tc>
          <w:tcPr>
            <w:tcW w:w="470" w:type="pct"/>
            <w:tcBorders>
              <w:top w:val="nil"/>
              <w:left w:val="nil"/>
              <w:bottom w:val="nil"/>
              <w:right w:val="nil"/>
            </w:tcBorders>
            <w:shd w:val="clear" w:color="auto" w:fill="auto"/>
            <w:noWrap/>
            <w:vAlign w:val="center"/>
            <w:hideMark/>
          </w:tcPr>
          <w:p w14:paraId="16384659"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3,4%</w:t>
            </w:r>
          </w:p>
        </w:tc>
        <w:tc>
          <w:tcPr>
            <w:tcW w:w="497" w:type="pct"/>
            <w:tcBorders>
              <w:top w:val="nil"/>
              <w:left w:val="nil"/>
              <w:bottom w:val="nil"/>
              <w:right w:val="nil"/>
            </w:tcBorders>
            <w:shd w:val="clear" w:color="auto" w:fill="auto"/>
            <w:noWrap/>
            <w:vAlign w:val="center"/>
            <w:hideMark/>
          </w:tcPr>
          <w:p w14:paraId="07EF8719"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16,5%</w:t>
            </w:r>
          </w:p>
        </w:tc>
      </w:tr>
      <w:tr w:rsidR="000C16E8" w:rsidRPr="000C16E8" w14:paraId="1AB9E45E" w14:textId="77777777" w:rsidTr="004E1C02">
        <w:trPr>
          <w:trHeight w:val="238"/>
        </w:trPr>
        <w:tc>
          <w:tcPr>
            <w:tcW w:w="2340" w:type="pct"/>
            <w:tcBorders>
              <w:top w:val="nil"/>
              <w:left w:val="nil"/>
              <w:bottom w:val="nil"/>
              <w:right w:val="nil"/>
            </w:tcBorders>
            <w:shd w:val="clear" w:color="auto" w:fill="auto"/>
            <w:noWrap/>
            <w:vAlign w:val="center"/>
            <w:hideMark/>
          </w:tcPr>
          <w:p w14:paraId="2ADAD319" w14:textId="77777777" w:rsidR="000C16E8" w:rsidRPr="003B40B6" w:rsidRDefault="000C16E8" w:rsidP="000C16E8">
            <w:pPr>
              <w:tabs>
                <w:tab w:val="clear" w:pos="851"/>
              </w:tabs>
              <w:spacing w:before="0" w:after="0" w:line="240" w:lineRule="auto"/>
              <w:jc w:val="left"/>
              <w:rPr>
                <w:rFonts w:ascii="Arial" w:hAnsi="Arial" w:cs="Arial"/>
                <w:color w:val="000000"/>
                <w:sz w:val="16"/>
                <w:szCs w:val="18"/>
                <w:lang w:eastAsia="pt-BR"/>
              </w:rPr>
            </w:pPr>
            <w:r w:rsidRPr="003B40B6">
              <w:rPr>
                <w:rFonts w:ascii="Arial" w:hAnsi="Arial" w:cs="Arial"/>
                <w:color w:val="000000"/>
                <w:sz w:val="16"/>
                <w:szCs w:val="18"/>
                <w:lang w:eastAsia="pt-BR"/>
              </w:rPr>
              <w:t>(-) Despesas Financeiras - CPC 6(R2) / IFRS 16</w:t>
            </w:r>
          </w:p>
        </w:tc>
        <w:tc>
          <w:tcPr>
            <w:tcW w:w="524" w:type="pct"/>
            <w:tcBorders>
              <w:top w:val="nil"/>
              <w:left w:val="nil"/>
              <w:bottom w:val="nil"/>
              <w:right w:val="nil"/>
            </w:tcBorders>
            <w:shd w:val="clear" w:color="auto" w:fill="auto"/>
            <w:noWrap/>
            <w:vAlign w:val="center"/>
            <w:hideMark/>
          </w:tcPr>
          <w:p w14:paraId="27E13402"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(1.034)</w:t>
            </w:r>
          </w:p>
        </w:tc>
        <w:tc>
          <w:tcPr>
            <w:tcW w:w="571" w:type="pct"/>
            <w:tcBorders>
              <w:top w:val="nil"/>
              <w:left w:val="nil"/>
              <w:bottom w:val="nil"/>
              <w:right w:val="nil"/>
            </w:tcBorders>
            <w:shd w:val="clear" w:color="auto" w:fill="auto"/>
            <w:noWrap/>
            <w:vAlign w:val="center"/>
            <w:hideMark/>
          </w:tcPr>
          <w:p w14:paraId="059506F9"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(939)</w:t>
            </w:r>
          </w:p>
        </w:tc>
        <w:tc>
          <w:tcPr>
            <w:tcW w:w="597" w:type="pct"/>
            <w:tcBorders>
              <w:top w:val="nil"/>
              <w:left w:val="nil"/>
              <w:bottom w:val="nil"/>
              <w:right w:val="nil"/>
            </w:tcBorders>
            <w:shd w:val="clear" w:color="auto" w:fill="auto"/>
            <w:noWrap/>
            <w:vAlign w:val="center"/>
            <w:hideMark/>
          </w:tcPr>
          <w:p w14:paraId="4139348E"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(755)</w:t>
            </w:r>
          </w:p>
        </w:tc>
        <w:tc>
          <w:tcPr>
            <w:tcW w:w="470" w:type="pct"/>
            <w:tcBorders>
              <w:top w:val="nil"/>
              <w:left w:val="nil"/>
              <w:bottom w:val="nil"/>
              <w:right w:val="nil"/>
            </w:tcBorders>
            <w:shd w:val="clear" w:color="auto" w:fill="auto"/>
            <w:noWrap/>
            <w:vAlign w:val="center"/>
            <w:hideMark/>
          </w:tcPr>
          <w:p w14:paraId="4AA20AF8"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10,1%</w:t>
            </w:r>
          </w:p>
        </w:tc>
        <w:tc>
          <w:tcPr>
            <w:tcW w:w="497" w:type="pct"/>
            <w:tcBorders>
              <w:top w:val="nil"/>
              <w:left w:val="nil"/>
              <w:bottom w:val="nil"/>
              <w:right w:val="nil"/>
            </w:tcBorders>
            <w:shd w:val="clear" w:color="auto" w:fill="auto"/>
            <w:noWrap/>
            <w:vAlign w:val="center"/>
            <w:hideMark/>
          </w:tcPr>
          <w:p w14:paraId="458BAEB3"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37,0%</w:t>
            </w:r>
          </w:p>
        </w:tc>
      </w:tr>
      <w:tr w:rsidR="000C16E8" w:rsidRPr="000C16E8" w14:paraId="426BCE14" w14:textId="77777777" w:rsidTr="004E1C02">
        <w:trPr>
          <w:trHeight w:val="238"/>
        </w:trPr>
        <w:tc>
          <w:tcPr>
            <w:tcW w:w="2340" w:type="pct"/>
            <w:tcBorders>
              <w:top w:val="nil"/>
              <w:left w:val="nil"/>
              <w:bottom w:val="nil"/>
              <w:right w:val="nil"/>
            </w:tcBorders>
            <w:shd w:val="clear" w:color="auto" w:fill="auto"/>
            <w:noWrap/>
            <w:vAlign w:val="center"/>
            <w:hideMark/>
          </w:tcPr>
          <w:p w14:paraId="687AADBB" w14:textId="77777777" w:rsidR="000C16E8" w:rsidRPr="003B40B6" w:rsidRDefault="000C16E8" w:rsidP="000C16E8">
            <w:pPr>
              <w:tabs>
                <w:tab w:val="clear" w:pos="851"/>
              </w:tabs>
              <w:spacing w:before="0" w:after="0" w:line="240" w:lineRule="auto"/>
              <w:jc w:val="left"/>
              <w:rPr>
                <w:rFonts w:ascii="Arial" w:hAnsi="Arial" w:cs="Arial"/>
                <w:color w:val="000000"/>
                <w:sz w:val="16"/>
                <w:szCs w:val="18"/>
                <w:lang w:eastAsia="pt-BR"/>
              </w:rPr>
            </w:pPr>
            <w:r w:rsidRPr="003B40B6">
              <w:rPr>
                <w:rFonts w:ascii="Arial" w:hAnsi="Arial" w:cs="Arial"/>
                <w:color w:val="000000"/>
                <w:sz w:val="16"/>
                <w:szCs w:val="18"/>
                <w:lang w:eastAsia="pt-BR"/>
              </w:rPr>
              <w:t>(+) Baixa de Créditos Tributários</w:t>
            </w:r>
          </w:p>
        </w:tc>
        <w:tc>
          <w:tcPr>
            <w:tcW w:w="524" w:type="pct"/>
            <w:tcBorders>
              <w:top w:val="nil"/>
              <w:left w:val="nil"/>
              <w:bottom w:val="nil"/>
              <w:right w:val="nil"/>
            </w:tcBorders>
            <w:shd w:val="clear" w:color="auto" w:fill="auto"/>
            <w:noWrap/>
            <w:vAlign w:val="center"/>
            <w:hideMark/>
          </w:tcPr>
          <w:p w14:paraId="4567D8FE"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7.183 </w:t>
            </w:r>
          </w:p>
        </w:tc>
        <w:tc>
          <w:tcPr>
            <w:tcW w:w="571" w:type="pct"/>
            <w:tcBorders>
              <w:top w:val="nil"/>
              <w:left w:val="nil"/>
              <w:bottom w:val="nil"/>
              <w:right w:val="nil"/>
            </w:tcBorders>
            <w:shd w:val="clear" w:color="auto" w:fill="auto"/>
            <w:noWrap/>
            <w:vAlign w:val="center"/>
            <w:hideMark/>
          </w:tcPr>
          <w:p w14:paraId="3BFC5DFE"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97" w:type="pct"/>
            <w:tcBorders>
              <w:top w:val="nil"/>
              <w:left w:val="nil"/>
              <w:bottom w:val="nil"/>
              <w:right w:val="nil"/>
            </w:tcBorders>
            <w:shd w:val="clear" w:color="auto" w:fill="auto"/>
            <w:noWrap/>
            <w:vAlign w:val="center"/>
            <w:hideMark/>
          </w:tcPr>
          <w:p w14:paraId="5BAEAB52"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13.488 </w:t>
            </w:r>
          </w:p>
        </w:tc>
        <w:tc>
          <w:tcPr>
            <w:tcW w:w="470" w:type="pct"/>
            <w:tcBorders>
              <w:top w:val="nil"/>
              <w:left w:val="nil"/>
              <w:bottom w:val="nil"/>
              <w:right w:val="nil"/>
            </w:tcBorders>
            <w:shd w:val="clear" w:color="auto" w:fill="auto"/>
            <w:noWrap/>
            <w:vAlign w:val="center"/>
            <w:hideMark/>
          </w:tcPr>
          <w:p w14:paraId="56EF3EA8"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c>
          <w:tcPr>
            <w:tcW w:w="497" w:type="pct"/>
            <w:tcBorders>
              <w:top w:val="nil"/>
              <w:left w:val="nil"/>
              <w:bottom w:val="nil"/>
              <w:right w:val="nil"/>
            </w:tcBorders>
            <w:shd w:val="clear" w:color="auto" w:fill="auto"/>
            <w:noWrap/>
            <w:vAlign w:val="center"/>
            <w:hideMark/>
          </w:tcPr>
          <w:p w14:paraId="33439304"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-46,7%</w:t>
            </w:r>
          </w:p>
        </w:tc>
      </w:tr>
      <w:tr w:rsidR="000C16E8" w:rsidRPr="000C16E8" w14:paraId="72ADFFF6" w14:textId="77777777" w:rsidTr="004E1C02">
        <w:trPr>
          <w:trHeight w:val="238"/>
        </w:trPr>
        <w:tc>
          <w:tcPr>
            <w:tcW w:w="2340" w:type="pct"/>
            <w:tcBorders>
              <w:top w:val="nil"/>
              <w:left w:val="nil"/>
              <w:bottom w:val="nil"/>
              <w:right w:val="nil"/>
            </w:tcBorders>
            <w:shd w:val="clear" w:color="auto" w:fill="auto"/>
            <w:noWrap/>
            <w:vAlign w:val="center"/>
            <w:hideMark/>
          </w:tcPr>
          <w:p w14:paraId="3CCDB600" w14:textId="77777777" w:rsidR="000C16E8" w:rsidRPr="003B40B6" w:rsidRDefault="000C16E8" w:rsidP="000C16E8">
            <w:pPr>
              <w:tabs>
                <w:tab w:val="clear" w:pos="851"/>
              </w:tabs>
              <w:spacing w:before="0" w:after="0" w:line="240" w:lineRule="auto"/>
              <w:jc w:val="left"/>
              <w:rPr>
                <w:rFonts w:ascii="Arial" w:hAnsi="Arial" w:cs="Arial"/>
                <w:color w:val="000000"/>
                <w:sz w:val="16"/>
                <w:szCs w:val="18"/>
                <w:lang w:eastAsia="pt-BR"/>
              </w:rPr>
            </w:pPr>
            <w:r w:rsidRPr="003B40B6">
              <w:rPr>
                <w:rFonts w:ascii="Arial" w:hAnsi="Arial" w:cs="Arial"/>
                <w:color w:val="000000"/>
                <w:sz w:val="16"/>
                <w:szCs w:val="18"/>
                <w:lang w:eastAsia="pt-BR"/>
              </w:rPr>
              <w:t>(+) Multas Contratuais - Dataprev</w:t>
            </w:r>
          </w:p>
        </w:tc>
        <w:tc>
          <w:tcPr>
            <w:tcW w:w="524" w:type="pct"/>
            <w:tcBorders>
              <w:top w:val="nil"/>
              <w:left w:val="nil"/>
              <w:bottom w:val="nil"/>
              <w:right w:val="nil"/>
            </w:tcBorders>
            <w:shd w:val="clear" w:color="auto" w:fill="auto"/>
            <w:noWrap/>
            <w:vAlign w:val="center"/>
            <w:hideMark/>
          </w:tcPr>
          <w:p w14:paraId="3ACBE495"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39.352 </w:t>
            </w:r>
          </w:p>
        </w:tc>
        <w:tc>
          <w:tcPr>
            <w:tcW w:w="571" w:type="pct"/>
            <w:tcBorders>
              <w:top w:val="nil"/>
              <w:left w:val="nil"/>
              <w:bottom w:val="nil"/>
              <w:right w:val="nil"/>
            </w:tcBorders>
            <w:shd w:val="clear" w:color="auto" w:fill="auto"/>
            <w:noWrap/>
            <w:vAlign w:val="center"/>
            <w:hideMark/>
          </w:tcPr>
          <w:p w14:paraId="3B0D0604"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597" w:type="pct"/>
            <w:tcBorders>
              <w:top w:val="nil"/>
              <w:left w:val="nil"/>
              <w:bottom w:val="nil"/>
              <w:right w:val="nil"/>
            </w:tcBorders>
            <w:shd w:val="clear" w:color="auto" w:fill="auto"/>
            <w:noWrap/>
            <w:vAlign w:val="center"/>
            <w:hideMark/>
          </w:tcPr>
          <w:p w14:paraId="7DAC91C7"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      </w:t>
            </w:r>
          </w:p>
        </w:tc>
        <w:tc>
          <w:tcPr>
            <w:tcW w:w="470" w:type="pct"/>
            <w:tcBorders>
              <w:top w:val="nil"/>
              <w:left w:val="nil"/>
              <w:bottom w:val="nil"/>
              <w:right w:val="nil"/>
            </w:tcBorders>
            <w:shd w:val="clear" w:color="auto" w:fill="auto"/>
            <w:noWrap/>
            <w:vAlign w:val="center"/>
            <w:hideMark/>
          </w:tcPr>
          <w:p w14:paraId="606186B0"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c>
          <w:tcPr>
            <w:tcW w:w="497" w:type="pct"/>
            <w:tcBorders>
              <w:top w:val="nil"/>
              <w:left w:val="nil"/>
              <w:bottom w:val="nil"/>
              <w:right w:val="nil"/>
            </w:tcBorders>
            <w:shd w:val="clear" w:color="auto" w:fill="auto"/>
            <w:noWrap/>
            <w:vAlign w:val="center"/>
            <w:hideMark/>
          </w:tcPr>
          <w:p w14:paraId="1878F079"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100,0%</w:t>
            </w:r>
          </w:p>
        </w:tc>
      </w:tr>
      <w:tr w:rsidR="000C16E8" w:rsidRPr="000C16E8" w14:paraId="5551D408" w14:textId="77777777" w:rsidTr="004E1C02">
        <w:trPr>
          <w:trHeight w:val="238"/>
        </w:trPr>
        <w:tc>
          <w:tcPr>
            <w:tcW w:w="2340" w:type="pct"/>
            <w:tcBorders>
              <w:top w:val="nil"/>
              <w:left w:val="nil"/>
              <w:bottom w:val="nil"/>
              <w:right w:val="nil"/>
            </w:tcBorders>
            <w:shd w:val="clear" w:color="auto" w:fill="auto"/>
            <w:noWrap/>
            <w:vAlign w:val="center"/>
            <w:hideMark/>
          </w:tcPr>
          <w:p w14:paraId="18416E71" w14:textId="77777777" w:rsidR="000C16E8" w:rsidRPr="003B40B6" w:rsidRDefault="000C16E8" w:rsidP="000C16E8">
            <w:pPr>
              <w:tabs>
                <w:tab w:val="clear" w:pos="851"/>
              </w:tabs>
              <w:spacing w:before="0" w:after="0" w:line="240" w:lineRule="auto"/>
              <w:jc w:val="left"/>
              <w:rPr>
                <w:rFonts w:ascii="Arial" w:hAnsi="Arial" w:cs="Arial"/>
                <w:color w:val="000000"/>
                <w:sz w:val="16"/>
                <w:szCs w:val="18"/>
                <w:lang w:eastAsia="pt-BR"/>
              </w:rPr>
            </w:pPr>
            <w:r w:rsidRPr="003B40B6">
              <w:rPr>
                <w:rFonts w:ascii="Arial" w:hAnsi="Arial" w:cs="Arial"/>
                <w:color w:val="000000"/>
                <w:sz w:val="16"/>
                <w:szCs w:val="18"/>
                <w:lang w:eastAsia="pt-BR"/>
              </w:rPr>
              <w:t>(+) Equivalência Patrimonial</w:t>
            </w:r>
          </w:p>
        </w:tc>
        <w:tc>
          <w:tcPr>
            <w:tcW w:w="524" w:type="pct"/>
            <w:tcBorders>
              <w:top w:val="nil"/>
              <w:left w:val="nil"/>
              <w:bottom w:val="nil"/>
              <w:right w:val="nil"/>
            </w:tcBorders>
            <w:shd w:val="clear" w:color="auto" w:fill="auto"/>
            <w:noWrap/>
            <w:vAlign w:val="center"/>
            <w:hideMark/>
          </w:tcPr>
          <w:p w14:paraId="21369216"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2.254 </w:t>
            </w:r>
          </w:p>
        </w:tc>
        <w:tc>
          <w:tcPr>
            <w:tcW w:w="571" w:type="pct"/>
            <w:tcBorders>
              <w:top w:val="nil"/>
              <w:left w:val="nil"/>
              <w:bottom w:val="nil"/>
              <w:right w:val="nil"/>
            </w:tcBorders>
            <w:shd w:val="clear" w:color="auto" w:fill="auto"/>
            <w:noWrap/>
            <w:vAlign w:val="center"/>
            <w:hideMark/>
          </w:tcPr>
          <w:p w14:paraId="458F0FD6"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6.500 </w:t>
            </w:r>
          </w:p>
        </w:tc>
        <w:tc>
          <w:tcPr>
            <w:tcW w:w="597" w:type="pct"/>
            <w:tcBorders>
              <w:top w:val="nil"/>
              <w:left w:val="nil"/>
              <w:bottom w:val="nil"/>
              <w:right w:val="nil"/>
            </w:tcBorders>
            <w:shd w:val="clear" w:color="auto" w:fill="auto"/>
            <w:noWrap/>
            <w:vAlign w:val="center"/>
            <w:hideMark/>
          </w:tcPr>
          <w:p w14:paraId="1C5F6747"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 xml:space="preserve">       6.273 </w:t>
            </w:r>
          </w:p>
        </w:tc>
        <w:tc>
          <w:tcPr>
            <w:tcW w:w="470" w:type="pct"/>
            <w:tcBorders>
              <w:top w:val="nil"/>
              <w:left w:val="nil"/>
              <w:bottom w:val="nil"/>
              <w:right w:val="nil"/>
            </w:tcBorders>
            <w:shd w:val="clear" w:color="auto" w:fill="auto"/>
            <w:noWrap/>
            <w:vAlign w:val="center"/>
            <w:hideMark/>
          </w:tcPr>
          <w:p w14:paraId="1309BCCD"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-65,3%</w:t>
            </w:r>
          </w:p>
        </w:tc>
        <w:tc>
          <w:tcPr>
            <w:tcW w:w="497" w:type="pct"/>
            <w:tcBorders>
              <w:top w:val="nil"/>
              <w:left w:val="nil"/>
              <w:bottom w:val="nil"/>
              <w:right w:val="nil"/>
            </w:tcBorders>
            <w:shd w:val="clear" w:color="auto" w:fill="auto"/>
            <w:noWrap/>
            <w:vAlign w:val="center"/>
            <w:hideMark/>
          </w:tcPr>
          <w:p w14:paraId="779CCC2D" w14:textId="77777777" w:rsidR="000C16E8" w:rsidRPr="003B40B6" w:rsidRDefault="000C16E8" w:rsidP="000C16E8">
            <w:pPr>
              <w:tabs>
                <w:tab w:val="clear" w:pos="851"/>
              </w:tabs>
              <w:spacing w:before="0" w:after="0" w:line="240" w:lineRule="auto"/>
              <w:jc w:val="right"/>
              <w:rPr>
                <w:rFonts w:ascii="Arial" w:hAnsi="Arial" w:cs="Arial"/>
                <w:color w:val="000000"/>
                <w:sz w:val="16"/>
                <w:szCs w:val="18"/>
                <w:lang w:eastAsia="pt-BR"/>
              </w:rPr>
            </w:pPr>
            <w:r w:rsidRPr="003B40B6">
              <w:rPr>
                <w:rFonts w:ascii="Arial" w:hAnsi="Arial" w:cs="Arial"/>
                <w:color w:val="000000"/>
                <w:sz w:val="16"/>
                <w:szCs w:val="18"/>
                <w:lang w:eastAsia="pt-BR"/>
              </w:rPr>
              <w:t>-64,1%</w:t>
            </w:r>
          </w:p>
        </w:tc>
      </w:tr>
      <w:tr w:rsidR="000C16E8" w:rsidRPr="000C16E8" w14:paraId="7544D9A9" w14:textId="77777777" w:rsidTr="004E1C02">
        <w:trPr>
          <w:trHeight w:val="238"/>
        </w:trPr>
        <w:tc>
          <w:tcPr>
            <w:tcW w:w="2340" w:type="pct"/>
            <w:tcBorders>
              <w:top w:val="single" w:sz="8" w:space="0" w:color="9BC2E6"/>
              <w:left w:val="nil"/>
              <w:bottom w:val="single" w:sz="8" w:space="0" w:color="9BC2E6"/>
              <w:right w:val="nil"/>
            </w:tcBorders>
            <w:shd w:val="clear" w:color="auto" w:fill="auto"/>
            <w:noWrap/>
            <w:vAlign w:val="center"/>
            <w:hideMark/>
          </w:tcPr>
          <w:p w14:paraId="3F401025" w14:textId="77777777" w:rsidR="000C16E8" w:rsidRPr="003B40B6" w:rsidRDefault="000C16E8" w:rsidP="000C16E8">
            <w:pPr>
              <w:tabs>
                <w:tab w:val="clear" w:pos="851"/>
              </w:tabs>
              <w:spacing w:before="0" w:after="0" w:line="240" w:lineRule="auto"/>
              <w:jc w:val="left"/>
              <w:rPr>
                <w:rFonts w:ascii="Arial" w:hAnsi="Arial" w:cs="Arial"/>
                <w:b/>
                <w:bCs/>
                <w:color w:val="000000"/>
                <w:sz w:val="16"/>
                <w:szCs w:val="18"/>
                <w:lang w:eastAsia="pt-BR"/>
              </w:rPr>
            </w:pPr>
            <w:r w:rsidRPr="003B40B6">
              <w:rPr>
                <w:rFonts w:ascii="Arial" w:hAnsi="Arial" w:cs="Arial"/>
                <w:b/>
                <w:bCs/>
                <w:color w:val="000000"/>
                <w:sz w:val="16"/>
                <w:szCs w:val="18"/>
                <w:lang w:eastAsia="pt-BR"/>
              </w:rPr>
              <w:t>EBITDA Ajustado</w:t>
            </w:r>
          </w:p>
        </w:tc>
        <w:tc>
          <w:tcPr>
            <w:tcW w:w="524" w:type="pct"/>
            <w:tcBorders>
              <w:top w:val="single" w:sz="8" w:space="0" w:color="9BC2E6"/>
              <w:left w:val="nil"/>
              <w:bottom w:val="single" w:sz="8" w:space="0" w:color="9BC2E6"/>
              <w:right w:val="nil"/>
            </w:tcBorders>
            <w:shd w:val="clear" w:color="auto" w:fill="auto"/>
            <w:noWrap/>
            <w:vAlign w:val="center"/>
            <w:hideMark/>
          </w:tcPr>
          <w:p w14:paraId="17B84219"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197.904 </w:t>
            </w:r>
          </w:p>
        </w:tc>
        <w:tc>
          <w:tcPr>
            <w:tcW w:w="571" w:type="pct"/>
            <w:tcBorders>
              <w:top w:val="single" w:sz="8" w:space="0" w:color="9BC2E6"/>
              <w:left w:val="nil"/>
              <w:bottom w:val="single" w:sz="8" w:space="0" w:color="9BC2E6"/>
              <w:right w:val="nil"/>
            </w:tcBorders>
            <w:shd w:val="clear" w:color="auto" w:fill="auto"/>
            <w:noWrap/>
            <w:vAlign w:val="center"/>
            <w:hideMark/>
          </w:tcPr>
          <w:p w14:paraId="12CC66B7"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190.500 </w:t>
            </w:r>
          </w:p>
        </w:tc>
        <w:tc>
          <w:tcPr>
            <w:tcW w:w="597" w:type="pct"/>
            <w:tcBorders>
              <w:top w:val="single" w:sz="8" w:space="0" w:color="9BC2E6"/>
              <w:left w:val="nil"/>
              <w:bottom w:val="single" w:sz="8" w:space="0" w:color="9BC2E6"/>
              <w:right w:val="nil"/>
            </w:tcBorders>
            <w:shd w:val="clear" w:color="auto" w:fill="auto"/>
            <w:noWrap/>
            <w:vAlign w:val="center"/>
            <w:hideMark/>
          </w:tcPr>
          <w:p w14:paraId="468D45B5"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   143.343 </w:t>
            </w:r>
          </w:p>
        </w:tc>
        <w:tc>
          <w:tcPr>
            <w:tcW w:w="470" w:type="pct"/>
            <w:tcBorders>
              <w:top w:val="single" w:sz="8" w:space="0" w:color="9BC2E6"/>
              <w:left w:val="nil"/>
              <w:bottom w:val="single" w:sz="8" w:space="0" w:color="9BC2E6"/>
              <w:right w:val="nil"/>
            </w:tcBorders>
            <w:shd w:val="clear" w:color="auto" w:fill="auto"/>
            <w:noWrap/>
            <w:vAlign w:val="center"/>
            <w:hideMark/>
          </w:tcPr>
          <w:p w14:paraId="34B818AE"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3,9%</w:t>
            </w:r>
          </w:p>
        </w:tc>
        <w:tc>
          <w:tcPr>
            <w:tcW w:w="497" w:type="pct"/>
            <w:tcBorders>
              <w:top w:val="single" w:sz="8" w:space="0" w:color="9BC2E6"/>
              <w:left w:val="nil"/>
              <w:bottom w:val="single" w:sz="8" w:space="0" w:color="9BC2E6"/>
              <w:right w:val="nil"/>
            </w:tcBorders>
            <w:shd w:val="clear" w:color="auto" w:fill="auto"/>
            <w:noWrap/>
            <w:vAlign w:val="center"/>
            <w:hideMark/>
          </w:tcPr>
          <w:p w14:paraId="1597A295"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38,1%</w:t>
            </w:r>
          </w:p>
        </w:tc>
      </w:tr>
      <w:tr w:rsidR="000C16E8" w:rsidRPr="000C16E8" w14:paraId="502511D8" w14:textId="77777777" w:rsidTr="004E1C02">
        <w:trPr>
          <w:trHeight w:val="238"/>
        </w:trPr>
        <w:tc>
          <w:tcPr>
            <w:tcW w:w="2340" w:type="pct"/>
            <w:tcBorders>
              <w:top w:val="nil"/>
              <w:left w:val="nil"/>
              <w:bottom w:val="single" w:sz="8" w:space="0" w:color="9BC2E6"/>
              <w:right w:val="nil"/>
            </w:tcBorders>
            <w:shd w:val="clear" w:color="auto" w:fill="auto"/>
            <w:noWrap/>
            <w:vAlign w:val="center"/>
            <w:hideMark/>
          </w:tcPr>
          <w:p w14:paraId="6D5F16B0" w14:textId="77777777" w:rsidR="000C16E8" w:rsidRPr="003B40B6" w:rsidRDefault="000C16E8" w:rsidP="000C16E8">
            <w:pPr>
              <w:tabs>
                <w:tab w:val="clear" w:pos="851"/>
              </w:tabs>
              <w:spacing w:before="0" w:after="0" w:line="240" w:lineRule="auto"/>
              <w:jc w:val="left"/>
              <w:rPr>
                <w:rFonts w:ascii="Arial" w:hAnsi="Arial" w:cs="Arial"/>
                <w:b/>
                <w:bCs/>
                <w:color w:val="000000"/>
                <w:sz w:val="16"/>
                <w:szCs w:val="18"/>
                <w:lang w:eastAsia="pt-BR"/>
              </w:rPr>
            </w:pPr>
            <w:r w:rsidRPr="003B40B6">
              <w:rPr>
                <w:rFonts w:ascii="Arial" w:hAnsi="Arial" w:cs="Arial"/>
                <w:b/>
                <w:bCs/>
                <w:color w:val="000000"/>
                <w:sz w:val="16"/>
                <w:szCs w:val="18"/>
                <w:lang w:eastAsia="pt-BR"/>
              </w:rPr>
              <w:t>Margem EBITDA</w:t>
            </w:r>
          </w:p>
        </w:tc>
        <w:tc>
          <w:tcPr>
            <w:tcW w:w="524" w:type="pct"/>
            <w:tcBorders>
              <w:top w:val="nil"/>
              <w:left w:val="nil"/>
              <w:bottom w:val="single" w:sz="8" w:space="0" w:color="9BC2E6"/>
              <w:right w:val="nil"/>
            </w:tcBorders>
            <w:shd w:val="clear" w:color="auto" w:fill="auto"/>
            <w:noWrap/>
            <w:vAlign w:val="center"/>
            <w:hideMark/>
          </w:tcPr>
          <w:p w14:paraId="73F64629"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44,7%</w:t>
            </w:r>
          </w:p>
        </w:tc>
        <w:tc>
          <w:tcPr>
            <w:tcW w:w="571" w:type="pct"/>
            <w:tcBorders>
              <w:top w:val="nil"/>
              <w:left w:val="nil"/>
              <w:bottom w:val="single" w:sz="8" w:space="0" w:color="9BC2E6"/>
              <w:right w:val="nil"/>
            </w:tcBorders>
            <w:shd w:val="clear" w:color="auto" w:fill="auto"/>
            <w:noWrap/>
            <w:vAlign w:val="center"/>
            <w:hideMark/>
          </w:tcPr>
          <w:p w14:paraId="49EE8635"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50,0%</w:t>
            </w:r>
          </w:p>
        </w:tc>
        <w:tc>
          <w:tcPr>
            <w:tcW w:w="597" w:type="pct"/>
            <w:tcBorders>
              <w:top w:val="nil"/>
              <w:left w:val="nil"/>
              <w:bottom w:val="single" w:sz="8" w:space="0" w:color="9BC2E6"/>
              <w:right w:val="nil"/>
            </w:tcBorders>
            <w:shd w:val="clear" w:color="auto" w:fill="auto"/>
            <w:noWrap/>
            <w:vAlign w:val="center"/>
            <w:hideMark/>
          </w:tcPr>
          <w:p w14:paraId="5E9F8E12"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52,9%</w:t>
            </w:r>
          </w:p>
        </w:tc>
        <w:tc>
          <w:tcPr>
            <w:tcW w:w="470" w:type="pct"/>
            <w:tcBorders>
              <w:top w:val="nil"/>
              <w:left w:val="nil"/>
              <w:bottom w:val="single" w:sz="8" w:space="0" w:color="9BC2E6"/>
              <w:right w:val="nil"/>
            </w:tcBorders>
            <w:shd w:val="clear" w:color="auto" w:fill="auto"/>
            <w:noWrap/>
            <w:vAlign w:val="center"/>
            <w:hideMark/>
          </w:tcPr>
          <w:p w14:paraId="2A1A3B2E"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-10,6%</w:t>
            </w:r>
          </w:p>
        </w:tc>
        <w:tc>
          <w:tcPr>
            <w:tcW w:w="497" w:type="pct"/>
            <w:tcBorders>
              <w:top w:val="nil"/>
              <w:left w:val="nil"/>
              <w:bottom w:val="single" w:sz="8" w:space="0" w:color="9BC2E6"/>
              <w:right w:val="nil"/>
            </w:tcBorders>
            <w:shd w:val="clear" w:color="auto" w:fill="auto"/>
            <w:noWrap/>
            <w:vAlign w:val="center"/>
            <w:hideMark/>
          </w:tcPr>
          <w:p w14:paraId="4B5D2A1A"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-15,6%</w:t>
            </w:r>
          </w:p>
        </w:tc>
      </w:tr>
      <w:tr w:rsidR="000C16E8" w:rsidRPr="000C16E8" w14:paraId="7A671766" w14:textId="77777777" w:rsidTr="004E1C02">
        <w:trPr>
          <w:trHeight w:val="238"/>
        </w:trPr>
        <w:tc>
          <w:tcPr>
            <w:tcW w:w="2340" w:type="pct"/>
            <w:tcBorders>
              <w:top w:val="nil"/>
              <w:left w:val="nil"/>
              <w:bottom w:val="single" w:sz="8" w:space="0" w:color="9BC2E6"/>
              <w:right w:val="nil"/>
            </w:tcBorders>
            <w:shd w:val="clear" w:color="auto" w:fill="auto"/>
            <w:noWrap/>
            <w:vAlign w:val="center"/>
            <w:hideMark/>
          </w:tcPr>
          <w:p w14:paraId="392A629C" w14:textId="77777777" w:rsidR="000C16E8" w:rsidRPr="003B40B6" w:rsidRDefault="000C16E8" w:rsidP="000C16E8">
            <w:pPr>
              <w:tabs>
                <w:tab w:val="clear" w:pos="851"/>
              </w:tabs>
              <w:spacing w:before="0" w:after="0" w:line="240" w:lineRule="auto"/>
              <w:jc w:val="left"/>
              <w:rPr>
                <w:rFonts w:ascii="Arial" w:hAnsi="Arial" w:cs="Arial"/>
                <w:b/>
                <w:bCs/>
                <w:color w:val="000000"/>
                <w:sz w:val="16"/>
                <w:szCs w:val="18"/>
                <w:lang w:eastAsia="pt-BR"/>
              </w:rPr>
            </w:pPr>
            <w:r w:rsidRPr="003B40B6">
              <w:rPr>
                <w:rFonts w:ascii="Arial" w:hAnsi="Arial" w:cs="Arial"/>
                <w:b/>
                <w:bCs/>
                <w:color w:val="000000"/>
                <w:sz w:val="16"/>
                <w:szCs w:val="18"/>
                <w:lang w:eastAsia="pt-BR"/>
              </w:rPr>
              <w:t xml:space="preserve">Margem EBITDA Ajustado </w:t>
            </w:r>
          </w:p>
        </w:tc>
        <w:tc>
          <w:tcPr>
            <w:tcW w:w="524" w:type="pct"/>
            <w:tcBorders>
              <w:top w:val="nil"/>
              <w:left w:val="nil"/>
              <w:bottom w:val="single" w:sz="8" w:space="0" w:color="9BC2E6"/>
              <w:right w:val="nil"/>
            </w:tcBorders>
            <w:shd w:val="clear" w:color="auto" w:fill="auto"/>
            <w:noWrap/>
            <w:vAlign w:val="center"/>
            <w:hideMark/>
          </w:tcPr>
          <w:p w14:paraId="2A15DE07"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47,5%</w:t>
            </w:r>
          </w:p>
        </w:tc>
        <w:tc>
          <w:tcPr>
            <w:tcW w:w="571" w:type="pct"/>
            <w:tcBorders>
              <w:top w:val="nil"/>
              <w:left w:val="nil"/>
              <w:bottom w:val="single" w:sz="8" w:space="0" w:color="9BC2E6"/>
              <w:right w:val="nil"/>
            </w:tcBorders>
            <w:shd w:val="clear" w:color="auto" w:fill="auto"/>
            <w:noWrap/>
            <w:vAlign w:val="center"/>
            <w:hideMark/>
          </w:tcPr>
          <w:p w14:paraId="23F386D7"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54,8%</w:t>
            </w:r>
          </w:p>
        </w:tc>
        <w:tc>
          <w:tcPr>
            <w:tcW w:w="597" w:type="pct"/>
            <w:tcBorders>
              <w:top w:val="nil"/>
              <w:left w:val="nil"/>
              <w:bottom w:val="single" w:sz="8" w:space="0" w:color="9BC2E6"/>
              <w:right w:val="nil"/>
            </w:tcBorders>
            <w:shd w:val="clear" w:color="auto" w:fill="auto"/>
            <w:noWrap/>
            <w:vAlign w:val="center"/>
            <w:hideMark/>
          </w:tcPr>
          <w:p w14:paraId="5088A6D8"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50,2%</w:t>
            </w:r>
          </w:p>
        </w:tc>
        <w:tc>
          <w:tcPr>
            <w:tcW w:w="470" w:type="pct"/>
            <w:tcBorders>
              <w:top w:val="nil"/>
              <w:left w:val="nil"/>
              <w:bottom w:val="single" w:sz="8" w:space="0" w:color="9BC2E6"/>
              <w:right w:val="nil"/>
            </w:tcBorders>
            <w:shd w:val="clear" w:color="auto" w:fill="auto"/>
            <w:noWrap/>
            <w:vAlign w:val="center"/>
            <w:hideMark/>
          </w:tcPr>
          <w:p w14:paraId="257583E9"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-13,3%</w:t>
            </w:r>
          </w:p>
        </w:tc>
        <w:tc>
          <w:tcPr>
            <w:tcW w:w="497" w:type="pct"/>
            <w:tcBorders>
              <w:top w:val="nil"/>
              <w:left w:val="nil"/>
              <w:bottom w:val="single" w:sz="8" w:space="0" w:color="9BC2E6"/>
              <w:right w:val="nil"/>
            </w:tcBorders>
            <w:shd w:val="clear" w:color="auto" w:fill="auto"/>
            <w:noWrap/>
            <w:vAlign w:val="center"/>
            <w:hideMark/>
          </w:tcPr>
          <w:p w14:paraId="28525A83" w14:textId="77777777" w:rsidR="000C16E8" w:rsidRPr="003B40B6" w:rsidRDefault="000C16E8" w:rsidP="000C16E8">
            <w:pPr>
              <w:tabs>
                <w:tab w:val="clear" w:pos="851"/>
              </w:tabs>
              <w:spacing w:before="0" w:after="0" w:line="240" w:lineRule="auto"/>
              <w:jc w:val="right"/>
              <w:rPr>
                <w:rFonts w:ascii="Arial" w:hAnsi="Arial" w:cs="Arial"/>
                <w:b/>
                <w:bCs/>
                <w:color w:val="000000"/>
                <w:sz w:val="16"/>
                <w:szCs w:val="18"/>
                <w:lang w:eastAsia="pt-BR"/>
              </w:rPr>
            </w:pPr>
            <w:r w:rsidRPr="003B40B6">
              <w:rPr>
                <w:rFonts w:ascii="Arial" w:hAnsi="Arial" w:cs="Arial"/>
                <w:b/>
                <w:bCs/>
                <w:color w:val="000000"/>
                <w:sz w:val="16"/>
                <w:szCs w:val="18"/>
                <w:lang w:eastAsia="pt-BR"/>
              </w:rPr>
              <w:t>-5,4%</w:t>
            </w:r>
          </w:p>
        </w:tc>
      </w:tr>
    </w:tbl>
    <w:p w14:paraId="1C1A3200" w14:textId="2627CD3D" w:rsidR="000C16E8" w:rsidRPr="000C16E8" w:rsidRDefault="003E0246" w:rsidP="000C16E8">
      <w:pPr>
        <w:spacing w:line="240" w:lineRule="auto"/>
        <w:rPr>
          <w:rFonts w:eastAsia="Calibri"/>
          <w:sz w:val="22"/>
        </w:rPr>
      </w:pPr>
      <w:r w:rsidRPr="00087F48">
        <w:rPr>
          <w:rFonts w:eastAsia="Calibri"/>
          <w:sz w:val="22"/>
        </w:rPr>
        <w:t xml:space="preserve">O </w:t>
      </w:r>
      <w:r w:rsidR="000C16E8" w:rsidRPr="000C16E8">
        <w:rPr>
          <w:rFonts w:eastAsia="Calibri"/>
          <w:sz w:val="22"/>
        </w:rPr>
        <w:t xml:space="preserve">EBITDA não é uma medida definida pelas práticas contábeis internacionais (IFRS) e representa o lucro / (prejuízo) antes do pagamento de juros, imposto de renda e contribuição social, depreciação e amortização. A Companhia divulga seu EBITDA Ajustado, conforme Instrução CVM N° 527, de 4 de outubro de 2012, e estes ajustes incluem a adição/exclusão do Resultado de Equivalência Patrimonial, da Depreciação e das Despesas Financeiras originadas  das alterações do CPC 6(R2) / IFRS 16 – Operações de Arrendamento Mercantil e Outros Eventos não Recorrentes que possam vir a ocorrer no curso dos negócios da Companhia, para proporcionar melhores informações sobre sua capacidade de pagamento de dívidas, manutenção de seus investimentos e possibilidade de cobertura de suas </w:t>
      </w:r>
      <w:r w:rsidR="000C16E8" w:rsidRPr="000C16E8">
        <w:rPr>
          <w:rFonts w:eastAsia="Calibri"/>
          <w:sz w:val="22"/>
        </w:rPr>
        <w:lastRenderedPageBreak/>
        <w:t>necessidades de capital de giro. Ambas as medidas desse agregado (EBITDA e EBITDA Ajustado) não devem ser consideradas como alternativas ao Lucro Operacional e ao Fluxo de Caixa Operacional, quando utilizados como indicador de liquidez. Destaca-se ainda que o EBITDA Ajustado pode não ser comparável com o mesmo indicador divulgado por outras empresas.</w:t>
      </w:r>
    </w:p>
    <w:p w14:paraId="0916A87C" w14:textId="77777777" w:rsidR="000C16E8" w:rsidRPr="000C16E8" w:rsidRDefault="000C16E8" w:rsidP="000C16E8">
      <w:pPr>
        <w:spacing w:line="240" w:lineRule="auto"/>
        <w:rPr>
          <w:rFonts w:eastAsia="Calibri"/>
          <w:sz w:val="22"/>
        </w:rPr>
      </w:pPr>
      <w:r w:rsidRPr="000C16E8">
        <w:rPr>
          <w:rFonts w:eastAsia="Calibri"/>
          <w:sz w:val="22"/>
        </w:rPr>
        <w:t xml:space="preserve">No exercício de 2023, o EBITDA Ajustado da Telebras foi positivo no valor de R$ 197,9 milhões (R$ 190,5 milhões em 2022 e R$ 143,3 milhões em 2021). O crescimento foi de 3,9% e 38,1%, respectivamente, entre os anos comparados. A justificativa para esse aumento foram os seguintes eventos: incremento da Receita Operacional Líquida (19,8% e 45,9% em relação aos anos de 2022 e 2021, respectivamente); </w:t>
      </w:r>
      <w:proofErr w:type="spellStart"/>
      <w:r w:rsidRPr="000C16E8">
        <w:rPr>
          <w:rFonts w:eastAsia="Calibri"/>
          <w:sz w:val="22"/>
        </w:rPr>
        <w:t>ii</w:t>
      </w:r>
      <w:proofErr w:type="spellEnd"/>
      <w:r w:rsidRPr="000C16E8">
        <w:rPr>
          <w:rFonts w:eastAsia="Calibri"/>
          <w:sz w:val="22"/>
        </w:rPr>
        <w:t xml:space="preserve">) recebimento/reconhecimento de Subvenções do Orçamento Federal para pagamento dos gastos com pessoal, outros custeios; e </w:t>
      </w:r>
      <w:proofErr w:type="spellStart"/>
      <w:r w:rsidRPr="000C16E8">
        <w:rPr>
          <w:rFonts w:eastAsia="Calibri"/>
          <w:sz w:val="22"/>
        </w:rPr>
        <w:t>iii</w:t>
      </w:r>
      <w:proofErr w:type="spellEnd"/>
      <w:r w:rsidRPr="000C16E8">
        <w:rPr>
          <w:rFonts w:eastAsia="Calibri"/>
          <w:sz w:val="22"/>
        </w:rPr>
        <w:t xml:space="preserve">) aumento dos Custos e Despesas Operacionais em 19,2,2% e 34,9%, em relação aos anos de 2022 e 2021, com percentuais inferiores ao crescimento da receita nos mesmos períodos.  </w:t>
      </w:r>
    </w:p>
    <w:p w14:paraId="765BE9A4" w14:textId="77777777" w:rsidR="00553E45" w:rsidRDefault="000C16E8" w:rsidP="000C16E8">
      <w:pPr>
        <w:spacing w:line="240" w:lineRule="auto"/>
        <w:rPr>
          <w:rFonts w:eastAsia="Calibri"/>
          <w:sz w:val="22"/>
        </w:rPr>
      </w:pPr>
      <w:r w:rsidRPr="000C16E8">
        <w:rPr>
          <w:rFonts w:eastAsia="Calibri"/>
          <w:sz w:val="22"/>
        </w:rPr>
        <w:t>A Margem EBITDA Ajustada em 2023 foi de 47,5% (54,8% em 2022 e 50,2% em 2021), aumento de 0,2% e 9,4%, respectivamente</w:t>
      </w:r>
      <w:r w:rsidR="00553E45">
        <w:rPr>
          <w:rFonts w:eastAsia="Calibri"/>
          <w:sz w:val="22"/>
        </w:rPr>
        <w:t>.</w:t>
      </w:r>
    </w:p>
    <w:p w14:paraId="39C0269C" w14:textId="6C9F3284" w:rsidR="003C6A32" w:rsidRDefault="00553E45" w:rsidP="000C16E8">
      <w:pPr>
        <w:spacing w:line="240" w:lineRule="auto"/>
        <w:rPr>
          <w:rFonts w:eastAsia="Calibri"/>
          <w:sz w:val="22"/>
        </w:rPr>
      </w:pPr>
      <w:r w:rsidRPr="00553E45">
        <w:rPr>
          <w:rFonts w:eastAsia="Calibri"/>
          <w:sz w:val="22"/>
        </w:rPr>
        <w:t>Desconsiderando o efeito das Subvenções Orçamentárias Recebidas (R$ 240,2 milhões em 2023 – R$ 241,5 milhões em 2022 e R$ 216,5 milhões em 2021) do cálculo do EBITDA Ajustado, teríamos um EBITDA negativo em 2023 de R$ 42,3 milhões (R$ 51,0 milhões negativo em 2022 e R$ 73,2 milhões em 2021), e uma Margem EBITIDA Ajustada de -10,7%, -14,7% e -25,6%, respectivamente</w:t>
      </w:r>
      <w:r w:rsidR="003E0246" w:rsidRPr="00087F48">
        <w:rPr>
          <w:rFonts w:eastAsia="Calibri"/>
          <w:sz w:val="22"/>
        </w:rPr>
        <w:t>.</w:t>
      </w:r>
    </w:p>
    <w:p w14:paraId="3C99257E" w14:textId="77777777" w:rsidR="00553E45" w:rsidRPr="00087F48" w:rsidRDefault="00553E45" w:rsidP="000C16E8">
      <w:pPr>
        <w:spacing w:line="240" w:lineRule="auto"/>
        <w:rPr>
          <w:rFonts w:eastAsia="Calibri"/>
          <w:sz w:val="22"/>
        </w:rPr>
      </w:pPr>
    </w:p>
    <w:p w14:paraId="0779A0BF" w14:textId="23BA02B6" w:rsidR="484B8F82" w:rsidRPr="00195380" w:rsidRDefault="484B8F82" w:rsidP="005E0485">
      <w:pPr>
        <w:pStyle w:val="Ttulo2"/>
        <w:spacing w:before="240" w:line="276" w:lineRule="auto"/>
        <w:ind w:left="567" w:hanging="510"/>
      </w:pPr>
      <w:bookmarkStart w:id="22" w:name="_Toc161319441"/>
      <w:r w:rsidRPr="00195380">
        <w:t>Execução Orçamentária</w:t>
      </w:r>
      <w:bookmarkEnd w:id="22"/>
    </w:p>
    <w:p w14:paraId="16E4C6FC" w14:textId="4E37BFDB" w:rsidR="00286A9E" w:rsidRDefault="00286A9E" w:rsidP="004C1ABF">
      <w:pPr>
        <w:spacing w:line="240" w:lineRule="auto"/>
        <w:rPr>
          <w:rFonts w:eastAsia="Calibri"/>
          <w:sz w:val="22"/>
        </w:rPr>
      </w:pPr>
      <w:r w:rsidRPr="00286A9E">
        <w:rPr>
          <w:rFonts w:eastAsia="Calibri"/>
          <w:sz w:val="22"/>
        </w:rPr>
        <w:t>Em 2023, com a continuidade da Telebras no Orçamento Fiscal e da Seguridade Social da União, as operações foram registradas nos sistemas governamentais SIAFI e SIOP, conforme a Lei nº 14.535</w:t>
      </w:r>
      <w:r w:rsidR="00480C0D">
        <w:rPr>
          <w:rFonts w:eastAsia="Calibri"/>
          <w:sz w:val="22"/>
        </w:rPr>
        <w:t>/23</w:t>
      </w:r>
      <w:r w:rsidRPr="00286A9E">
        <w:rPr>
          <w:rFonts w:eastAsia="Calibri"/>
          <w:sz w:val="22"/>
        </w:rPr>
        <w:t>. Os dados, compatíveis com o SIAFI, foram extraídos do portal Siga-Brasil.</w:t>
      </w:r>
    </w:p>
    <w:p w14:paraId="7A49B8C9" w14:textId="5CD96B5D" w:rsidR="004C1ABF" w:rsidRPr="004C1ABF" w:rsidRDefault="004C1ABF" w:rsidP="004C1ABF">
      <w:pPr>
        <w:spacing w:line="240" w:lineRule="auto"/>
        <w:rPr>
          <w:rFonts w:eastAsia="Calibri"/>
          <w:sz w:val="22"/>
        </w:rPr>
      </w:pPr>
      <w:r w:rsidRPr="00EA448A">
        <w:rPr>
          <w:rFonts w:eastAsia="Calibri"/>
          <w:sz w:val="22"/>
        </w:rPr>
        <w:t>A execução orçamentária neste exercício foi viab</w:t>
      </w:r>
      <w:r w:rsidR="00195380">
        <w:rPr>
          <w:rFonts w:eastAsia="Calibri"/>
          <w:sz w:val="22"/>
        </w:rPr>
        <w:t xml:space="preserve">ilizada pelos valores aprovados em 17 de janeiro de 2023 </w:t>
      </w:r>
      <w:r w:rsidRPr="00EA448A">
        <w:rPr>
          <w:rFonts w:eastAsia="Calibri"/>
          <w:sz w:val="22"/>
        </w:rPr>
        <w:t xml:space="preserve">na </w:t>
      </w:r>
      <w:r w:rsidR="00F17EEA">
        <w:rPr>
          <w:rFonts w:eastAsia="Calibri"/>
          <w:sz w:val="22"/>
        </w:rPr>
        <w:t>Lei nº 14.535</w:t>
      </w:r>
      <w:r w:rsidR="00195380">
        <w:rPr>
          <w:rFonts w:eastAsia="Calibri"/>
          <w:sz w:val="22"/>
        </w:rPr>
        <w:t xml:space="preserve"> (LOA 2023) e suas alterações</w:t>
      </w:r>
      <w:r>
        <w:rPr>
          <w:rFonts w:eastAsia="Calibri"/>
          <w:sz w:val="22"/>
        </w:rPr>
        <w:t xml:space="preserve">, </w:t>
      </w:r>
      <w:r w:rsidRPr="00EA448A">
        <w:rPr>
          <w:rFonts w:eastAsia="Calibri"/>
          <w:sz w:val="22"/>
        </w:rPr>
        <w:t>e os inscritos em restos a pagar não processados e processados.</w:t>
      </w:r>
    </w:p>
    <w:p w14:paraId="2FD48E86" w14:textId="30E5DE9B" w:rsidR="484B8F82" w:rsidRPr="00116BE9" w:rsidRDefault="484B8F82" w:rsidP="005E0485">
      <w:pPr>
        <w:pStyle w:val="Ttulo3"/>
        <w:ind w:left="709" w:hanging="709"/>
      </w:pPr>
      <w:bookmarkStart w:id="23" w:name="_Toc161319442"/>
      <w:r w:rsidRPr="00116BE9">
        <w:t>Execução da Receita Pública por Categoria Econômica</w:t>
      </w:r>
      <w:bookmarkEnd w:id="23"/>
    </w:p>
    <w:p w14:paraId="4CE9174B" w14:textId="77888C33" w:rsidR="004C1ABF" w:rsidRDefault="00286A9E">
      <w:pPr>
        <w:spacing w:line="276" w:lineRule="auto"/>
        <w:rPr>
          <w:rFonts w:eastAsia="Calibri" w:cs="Arial"/>
          <w:sz w:val="22"/>
        </w:rPr>
      </w:pPr>
      <w:r>
        <w:rPr>
          <w:rFonts w:eastAsia="Calibri" w:cs="Arial"/>
          <w:sz w:val="22"/>
        </w:rPr>
        <w:t>A</w:t>
      </w:r>
      <w:r w:rsidR="004C1ABF" w:rsidRPr="00001A73">
        <w:rPr>
          <w:rFonts w:eastAsia="Calibri" w:cs="Arial"/>
          <w:sz w:val="22"/>
        </w:rPr>
        <w:t xml:space="preserve"> receita </w:t>
      </w:r>
      <w:r>
        <w:rPr>
          <w:rFonts w:eastAsia="Calibri" w:cs="Arial"/>
          <w:sz w:val="22"/>
        </w:rPr>
        <w:t xml:space="preserve">líquida </w:t>
      </w:r>
      <w:r w:rsidR="004C1ABF" w:rsidRPr="00001A73">
        <w:rPr>
          <w:rFonts w:eastAsia="Calibri" w:cs="Arial"/>
          <w:sz w:val="22"/>
        </w:rPr>
        <w:t xml:space="preserve">arrecadada foi de R$ </w:t>
      </w:r>
      <w:r w:rsidR="004C1ABF">
        <w:rPr>
          <w:rFonts w:eastAsia="Calibri" w:cs="Arial"/>
          <w:sz w:val="22"/>
        </w:rPr>
        <w:t xml:space="preserve">463,5 </w:t>
      </w:r>
      <w:r w:rsidR="004C1ABF" w:rsidRPr="00001A73">
        <w:rPr>
          <w:rFonts w:eastAsia="Calibri" w:cs="Arial"/>
          <w:sz w:val="22"/>
        </w:rPr>
        <w:t>milhões</w:t>
      </w:r>
      <w:r>
        <w:rPr>
          <w:rFonts w:eastAsia="Calibri" w:cs="Arial"/>
          <w:sz w:val="22"/>
        </w:rPr>
        <w:t>,</w:t>
      </w:r>
      <w:r w:rsidR="004C1ABF">
        <w:rPr>
          <w:rFonts w:eastAsia="Calibri" w:cs="Arial"/>
          <w:sz w:val="22"/>
        </w:rPr>
        <w:t xml:space="preserve"> proveniente </w:t>
      </w:r>
      <w:r>
        <w:rPr>
          <w:rFonts w:eastAsia="Calibri" w:cs="Arial"/>
          <w:sz w:val="22"/>
        </w:rPr>
        <w:t>principalmente da</w:t>
      </w:r>
      <w:r w:rsidR="004C1ABF">
        <w:rPr>
          <w:rFonts w:eastAsia="Calibri" w:cs="Arial"/>
          <w:sz w:val="22"/>
        </w:rPr>
        <w:t xml:space="preserve"> prestação de serviço </w:t>
      </w:r>
      <w:r>
        <w:rPr>
          <w:rFonts w:eastAsia="Calibri" w:cs="Arial"/>
          <w:sz w:val="22"/>
        </w:rPr>
        <w:t>ao</w:t>
      </w:r>
      <w:r w:rsidR="004C1ABF">
        <w:rPr>
          <w:rFonts w:eastAsia="Calibri" w:cs="Arial"/>
          <w:sz w:val="22"/>
        </w:rPr>
        <w:t xml:space="preserve"> Governo e </w:t>
      </w:r>
      <w:r>
        <w:rPr>
          <w:rFonts w:eastAsia="Calibri" w:cs="Arial"/>
          <w:sz w:val="22"/>
        </w:rPr>
        <w:t>ao setor p</w:t>
      </w:r>
      <w:r w:rsidR="004C1ABF">
        <w:rPr>
          <w:rFonts w:eastAsia="Calibri" w:cs="Arial"/>
          <w:sz w:val="22"/>
        </w:rPr>
        <w:t xml:space="preserve">rivado, </w:t>
      </w:r>
      <w:r>
        <w:rPr>
          <w:rFonts w:eastAsia="Calibri" w:cs="Arial"/>
          <w:sz w:val="22"/>
        </w:rPr>
        <w:t xml:space="preserve">além de </w:t>
      </w:r>
      <w:r w:rsidR="004C1ABF">
        <w:rPr>
          <w:rFonts w:eastAsia="Calibri" w:cs="Arial"/>
          <w:sz w:val="22"/>
        </w:rPr>
        <w:t>receita</w:t>
      </w:r>
      <w:r>
        <w:rPr>
          <w:rFonts w:eastAsia="Calibri" w:cs="Arial"/>
          <w:sz w:val="22"/>
        </w:rPr>
        <w:t>s</w:t>
      </w:r>
      <w:r w:rsidR="004C1ABF">
        <w:rPr>
          <w:rFonts w:eastAsia="Calibri" w:cs="Arial"/>
          <w:sz w:val="22"/>
        </w:rPr>
        <w:t xml:space="preserve"> financeira</w:t>
      </w:r>
      <w:r>
        <w:rPr>
          <w:rFonts w:eastAsia="Calibri" w:cs="Arial"/>
          <w:sz w:val="22"/>
        </w:rPr>
        <w:t>s</w:t>
      </w:r>
      <w:r w:rsidR="004C1ABF">
        <w:rPr>
          <w:rFonts w:eastAsia="Calibri" w:cs="Arial"/>
          <w:sz w:val="22"/>
        </w:rPr>
        <w:t xml:space="preserve"> </w:t>
      </w:r>
      <w:r w:rsidR="00116BE9">
        <w:rPr>
          <w:rFonts w:eastAsia="Calibri" w:cs="Arial"/>
          <w:sz w:val="22"/>
        </w:rPr>
        <w:t>do superávit da Fundação Sistel de Seguridade Social (Sistel)</w:t>
      </w:r>
      <w:r>
        <w:rPr>
          <w:rFonts w:eastAsia="Calibri" w:cs="Arial"/>
          <w:sz w:val="22"/>
        </w:rPr>
        <w:t xml:space="preserve"> </w:t>
      </w:r>
      <w:r w:rsidR="004C1ABF" w:rsidRPr="00164A40">
        <w:rPr>
          <w:rFonts w:eastAsia="Calibri" w:cs="Arial"/>
          <w:sz w:val="22"/>
        </w:rPr>
        <w:t xml:space="preserve">que administra os planos de previdência dos colaboradores efetivos da Telebras. Em acordo firmado entre a Telebras e a Sistel, </w:t>
      </w:r>
      <w:r w:rsidR="004C1ABF">
        <w:rPr>
          <w:rFonts w:eastAsia="Calibri" w:cs="Arial"/>
          <w:sz w:val="22"/>
        </w:rPr>
        <w:t xml:space="preserve">esta deveria </w:t>
      </w:r>
      <w:r w:rsidR="004C1ABF" w:rsidRPr="00164A40">
        <w:rPr>
          <w:rFonts w:eastAsia="Calibri" w:cs="Arial"/>
          <w:sz w:val="22"/>
        </w:rPr>
        <w:t>realizar repasses, mensalmente, de valores decorrentes de superávit financeiro dos Planos “PBS Telebras”, “PBS A” e "</w:t>
      </w:r>
      <w:proofErr w:type="spellStart"/>
      <w:r w:rsidR="004C1ABF" w:rsidRPr="00164A40">
        <w:rPr>
          <w:rFonts w:eastAsia="Calibri" w:cs="Arial"/>
          <w:sz w:val="22"/>
        </w:rPr>
        <w:t>Telebrasprev</w:t>
      </w:r>
      <w:proofErr w:type="spellEnd"/>
      <w:r w:rsidR="004C1ABF" w:rsidRPr="00164A40">
        <w:rPr>
          <w:rFonts w:eastAsia="Calibri" w:cs="Arial"/>
          <w:sz w:val="22"/>
        </w:rPr>
        <w:t xml:space="preserve">". </w:t>
      </w:r>
      <w:r w:rsidR="004C1ABF">
        <w:rPr>
          <w:rFonts w:eastAsia="Calibri" w:cs="Arial"/>
          <w:sz w:val="22"/>
        </w:rPr>
        <w:t>Porém, em relação ao Plano PBS Telebras, referente aos exercícios de 2014 e 2015, esses caíram em exigências para adequação de proposta pela PREVIC, sendo autorizado apenas em dezembro de 2023, quando arrecadamos a primeira parcela.</w:t>
      </w:r>
    </w:p>
    <w:p w14:paraId="66B2183F" w14:textId="77777777" w:rsidR="00286A9E" w:rsidRDefault="00286A9E" w:rsidP="00AE3EC3">
      <w:pPr>
        <w:spacing w:line="276" w:lineRule="auto"/>
        <w:rPr>
          <w:rFonts w:eastAsia="Calibri" w:cs="Arial"/>
          <w:sz w:val="22"/>
        </w:rPr>
      </w:pPr>
      <w:r w:rsidRPr="00286A9E">
        <w:rPr>
          <w:rFonts w:eastAsia="Calibri" w:cs="Arial"/>
          <w:sz w:val="22"/>
        </w:rPr>
        <w:t>A arrecadação foi impactada pela limitação financeira de clientes federais, especialmente o GESAC, não atingindo as expectativas.</w:t>
      </w:r>
    </w:p>
    <w:p w14:paraId="1267FC3F" w14:textId="28CF53F1" w:rsidR="00F3700B" w:rsidRPr="00461B47" w:rsidRDefault="00461B47" w:rsidP="00461B47">
      <w:pPr>
        <w:spacing w:line="276" w:lineRule="auto"/>
        <w:jc w:val="center"/>
        <w:rPr>
          <w:rFonts w:eastAsia="Calibri" w:cs="Arial"/>
          <w:sz w:val="22"/>
          <w:highlight w:val="yellow"/>
        </w:rPr>
      </w:pPr>
      <w:r>
        <w:rPr>
          <w:noProof/>
          <w:lang w:eastAsia="pt-BR"/>
        </w:rPr>
        <w:lastRenderedPageBreak/>
        <w:drawing>
          <wp:inline distT="0" distB="0" distL="0" distR="0" wp14:anchorId="7F38A362" wp14:editId="3AE0F02C">
            <wp:extent cx="4905375" cy="885825"/>
            <wp:effectExtent l="0" t="0" r="9525" b="9525"/>
            <wp:docPr id="2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m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05375" cy="88582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9525104" w14:textId="49F094D7" w:rsidR="77E856B3" w:rsidRPr="002E3EC5" w:rsidRDefault="00F3700B" w:rsidP="00F3700B">
      <w:pPr>
        <w:pStyle w:val="Legenda"/>
        <w:rPr>
          <w:rFonts w:ascii="Calibri" w:hAnsi="Calibri"/>
        </w:rPr>
      </w:pPr>
      <w:bookmarkStart w:id="24" w:name="_Toc161319860"/>
      <w:r w:rsidRPr="002E3EC5">
        <w:t xml:space="preserve">Tabela </w:t>
      </w:r>
      <w:r w:rsidR="006F713F">
        <w:fldChar w:fldCharType="begin"/>
      </w:r>
      <w:r w:rsidR="006F713F">
        <w:instrText xml:space="preserve"> STYLEREF 1 \s </w:instrText>
      </w:r>
      <w:r w:rsidR="006F713F">
        <w:fldChar w:fldCharType="separate"/>
      </w:r>
      <w:r w:rsidR="00247165">
        <w:rPr>
          <w:noProof/>
        </w:rPr>
        <w:t>3</w:t>
      </w:r>
      <w:r w:rsidR="006F713F">
        <w:rPr>
          <w:noProof/>
        </w:rPr>
        <w:fldChar w:fldCharType="end"/>
      </w:r>
      <w:r w:rsidR="000E20B4" w:rsidRPr="002E3EC5">
        <w:noBreakHyphen/>
      </w:r>
      <w:r w:rsidR="006F713F">
        <w:fldChar w:fldCharType="begin"/>
      </w:r>
      <w:r w:rsidR="006F713F">
        <w:instrText xml:space="preserve"> SEQ Tabela \* ARABIC \s 1 </w:instrText>
      </w:r>
      <w:r w:rsidR="006F713F">
        <w:fldChar w:fldCharType="separate"/>
      </w:r>
      <w:r w:rsidR="00247165">
        <w:rPr>
          <w:noProof/>
        </w:rPr>
        <w:t>1</w:t>
      </w:r>
      <w:r w:rsidR="006F713F">
        <w:rPr>
          <w:noProof/>
        </w:rPr>
        <w:fldChar w:fldCharType="end"/>
      </w:r>
      <w:r w:rsidRPr="002E3EC5">
        <w:t xml:space="preserve"> Receita Prevista x Arrecadada</w:t>
      </w:r>
      <w:bookmarkEnd w:id="24"/>
    </w:p>
    <w:p w14:paraId="2C37C058" w14:textId="02F88BE3" w:rsidR="484B8F82" w:rsidRPr="00461B47" w:rsidRDefault="484B8F82" w:rsidP="005E0485">
      <w:pPr>
        <w:pStyle w:val="Ttulo3"/>
        <w:ind w:left="709" w:hanging="709"/>
      </w:pPr>
      <w:bookmarkStart w:id="25" w:name="_Toc161319443"/>
      <w:r w:rsidRPr="00461B47">
        <w:t>Execução da Despesa Pública por Categoria Econômica</w:t>
      </w:r>
      <w:bookmarkEnd w:id="25"/>
    </w:p>
    <w:p w14:paraId="27DAC7C9" w14:textId="14F72C77" w:rsidR="004C1ABF" w:rsidRPr="00F92648" w:rsidRDefault="004C1ABF" w:rsidP="004C1ABF">
      <w:pPr>
        <w:spacing w:before="120" w:line="240" w:lineRule="auto"/>
        <w:rPr>
          <w:rFonts w:eastAsia="Calibri"/>
          <w:sz w:val="22"/>
        </w:rPr>
      </w:pPr>
      <w:r w:rsidRPr="00F92648">
        <w:rPr>
          <w:rFonts w:eastAsia="Calibri"/>
          <w:sz w:val="22"/>
        </w:rPr>
        <w:t xml:space="preserve">Primeiramente, faz-se necessário explicar o que é executar o Orçamento Público para as unidades orçamentárias inseridas no Orçamento Fiscal. Executar o orçamento é realizar as despesas públicas nele previstas, seguindo à risca os três estágios da execução das despesas expressos na Lei nº 4.320/64: empenho, liquidação e pagamento. </w:t>
      </w:r>
      <w:r w:rsidR="006F27EF">
        <w:rPr>
          <w:rFonts w:eastAsia="Calibri"/>
          <w:sz w:val="22"/>
        </w:rPr>
        <w:t>A</w:t>
      </w:r>
      <w:r w:rsidRPr="00F92648">
        <w:rPr>
          <w:rFonts w:eastAsia="Calibri"/>
          <w:sz w:val="22"/>
        </w:rPr>
        <w:t xml:space="preserve">baixo </w:t>
      </w:r>
      <w:r w:rsidR="006F27EF">
        <w:rPr>
          <w:rFonts w:eastAsia="Calibri"/>
          <w:sz w:val="22"/>
        </w:rPr>
        <w:t xml:space="preserve">estão </w:t>
      </w:r>
      <w:r w:rsidRPr="00F92648">
        <w:rPr>
          <w:rFonts w:eastAsia="Calibri"/>
          <w:sz w:val="22"/>
        </w:rPr>
        <w:t xml:space="preserve">detalhadas </w:t>
      </w:r>
      <w:r w:rsidR="006F27EF">
        <w:rPr>
          <w:rFonts w:eastAsia="Calibri"/>
          <w:sz w:val="22"/>
        </w:rPr>
        <w:t>as despesas por categoria econômica:</w:t>
      </w:r>
    </w:p>
    <w:p w14:paraId="035A3863" w14:textId="3B224305" w:rsidR="004C1ABF" w:rsidRDefault="00461B47" w:rsidP="008A7AF1">
      <w:pPr>
        <w:spacing w:before="120" w:line="240" w:lineRule="auto"/>
        <w:rPr>
          <w:rFonts w:eastAsia="Calibri"/>
          <w:sz w:val="22"/>
          <w:highlight w:val="yellow"/>
        </w:rPr>
      </w:pPr>
      <w:r>
        <w:rPr>
          <w:noProof/>
          <w:lang w:eastAsia="pt-BR"/>
        </w:rPr>
        <w:drawing>
          <wp:inline distT="0" distB="0" distL="0" distR="0" wp14:anchorId="3889DE23" wp14:editId="0D23E873">
            <wp:extent cx="5760720" cy="1544955"/>
            <wp:effectExtent l="0" t="0" r="0" b="0"/>
            <wp:docPr id="30"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1544955"/>
                    </a:xfrm>
                    <a:prstGeom prst="rect">
                      <a:avLst/>
                    </a:prstGeom>
                    <a:noFill/>
                  </pic:spPr>
                </pic:pic>
              </a:graphicData>
            </a:graphic>
          </wp:inline>
        </w:drawing>
      </w:r>
    </w:p>
    <w:p w14:paraId="2C71E904" w14:textId="12EBA119" w:rsidR="00531E99" w:rsidRDefault="00531E99" w:rsidP="00531E99">
      <w:pPr>
        <w:pStyle w:val="Legenda"/>
      </w:pPr>
      <w:bookmarkStart w:id="26" w:name="_Toc161319861"/>
      <w:r w:rsidRPr="002E3EC5">
        <w:t xml:space="preserve">Tabela </w:t>
      </w:r>
      <w:r w:rsidR="006F713F">
        <w:fldChar w:fldCharType="begin"/>
      </w:r>
      <w:r w:rsidR="006F713F">
        <w:instrText xml:space="preserve"> STYLEREF 1 \s </w:instrText>
      </w:r>
      <w:r w:rsidR="006F713F">
        <w:fldChar w:fldCharType="separate"/>
      </w:r>
      <w:r w:rsidR="00247165">
        <w:rPr>
          <w:noProof/>
        </w:rPr>
        <w:t>3</w:t>
      </w:r>
      <w:r w:rsidR="006F713F">
        <w:rPr>
          <w:noProof/>
        </w:rPr>
        <w:fldChar w:fldCharType="end"/>
      </w:r>
      <w:r w:rsidRPr="002E3EC5">
        <w:noBreakHyphen/>
      </w:r>
      <w:r w:rsidR="006F713F">
        <w:fldChar w:fldCharType="begin"/>
      </w:r>
      <w:r w:rsidR="006F713F">
        <w:instrText xml:space="preserve"> SEQ Tabela \* ARABIC \s 1 </w:instrText>
      </w:r>
      <w:r w:rsidR="006F713F">
        <w:fldChar w:fldCharType="separate"/>
      </w:r>
      <w:r w:rsidR="00247165">
        <w:rPr>
          <w:noProof/>
        </w:rPr>
        <w:t>2</w:t>
      </w:r>
      <w:r w:rsidR="006F713F">
        <w:rPr>
          <w:noProof/>
        </w:rPr>
        <w:fldChar w:fldCharType="end"/>
      </w:r>
      <w:r w:rsidRPr="002E3EC5">
        <w:t xml:space="preserve"> </w:t>
      </w:r>
      <w:r>
        <w:t>Execução da Despesa por Categoria Econômica</w:t>
      </w:r>
      <w:bookmarkEnd w:id="26"/>
    </w:p>
    <w:p w14:paraId="157A679B" w14:textId="77777777" w:rsidR="00397635" w:rsidRDefault="00397635" w:rsidP="004C1ABF">
      <w:pPr>
        <w:spacing w:before="120" w:line="240" w:lineRule="auto"/>
        <w:rPr>
          <w:rFonts w:eastAsia="Calibri" w:cs="Arial"/>
          <w:sz w:val="22"/>
        </w:rPr>
      </w:pPr>
    </w:p>
    <w:p w14:paraId="1A788E77" w14:textId="077B04F9" w:rsidR="004C1ABF" w:rsidRDefault="004C1ABF" w:rsidP="004C1ABF">
      <w:pPr>
        <w:spacing w:before="120" w:line="240" w:lineRule="auto"/>
        <w:rPr>
          <w:rFonts w:eastAsia="Calibri" w:cs="Arial"/>
          <w:sz w:val="22"/>
        </w:rPr>
      </w:pPr>
      <w:r w:rsidRPr="008A7AF1">
        <w:rPr>
          <w:rFonts w:eastAsia="Calibri" w:cs="Arial"/>
          <w:sz w:val="22"/>
        </w:rPr>
        <w:t>Para o exercício de 202</w:t>
      </w:r>
      <w:r>
        <w:rPr>
          <w:rFonts w:eastAsia="Calibri" w:cs="Arial"/>
          <w:sz w:val="22"/>
        </w:rPr>
        <w:t>3</w:t>
      </w:r>
      <w:r w:rsidRPr="008A7AF1">
        <w:rPr>
          <w:rFonts w:eastAsia="Calibri" w:cs="Arial"/>
          <w:sz w:val="22"/>
        </w:rPr>
        <w:t xml:space="preserve">, a Telebras foi autorizada a executar R$ </w:t>
      </w:r>
      <w:r>
        <w:rPr>
          <w:rFonts w:eastAsia="Calibri" w:cs="Arial"/>
          <w:sz w:val="22"/>
        </w:rPr>
        <w:t>873,79 milhões</w:t>
      </w:r>
      <w:r w:rsidRPr="008A7AF1">
        <w:rPr>
          <w:rFonts w:eastAsia="Calibri" w:cs="Arial"/>
          <w:sz w:val="22"/>
        </w:rPr>
        <w:t xml:space="preserve"> de recursos orçamentários. </w:t>
      </w:r>
      <w:r>
        <w:rPr>
          <w:rFonts w:eastAsia="Calibri" w:cs="Arial"/>
          <w:sz w:val="22"/>
        </w:rPr>
        <w:t xml:space="preserve">No ano, </w:t>
      </w:r>
      <w:r w:rsidRPr="008A7AF1">
        <w:rPr>
          <w:rFonts w:eastAsia="Calibri" w:cs="Arial"/>
          <w:sz w:val="22"/>
        </w:rPr>
        <w:t xml:space="preserve">a empresa empenhou R$ </w:t>
      </w:r>
      <w:r>
        <w:rPr>
          <w:rFonts w:eastAsia="Calibri" w:cs="Arial"/>
          <w:sz w:val="22"/>
        </w:rPr>
        <w:t xml:space="preserve">606,95 </w:t>
      </w:r>
      <w:r w:rsidRPr="008A7AF1">
        <w:rPr>
          <w:rFonts w:eastAsia="Calibri" w:cs="Arial"/>
          <w:sz w:val="22"/>
        </w:rPr>
        <w:t>milhões, que representam 99,</w:t>
      </w:r>
      <w:r>
        <w:rPr>
          <w:rFonts w:eastAsia="Calibri" w:cs="Arial"/>
          <w:sz w:val="22"/>
        </w:rPr>
        <w:t xml:space="preserve">07% </w:t>
      </w:r>
      <w:r w:rsidRPr="008A7AF1">
        <w:rPr>
          <w:rFonts w:eastAsia="Calibri" w:cs="Arial"/>
          <w:sz w:val="22"/>
        </w:rPr>
        <w:t>do orçamento disponível.</w:t>
      </w:r>
      <w:r w:rsidR="00CB7E7E">
        <w:rPr>
          <w:rFonts w:eastAsia="Calibri" w:cs="Arial"/>
          <w:sz w:val="22"/>
        </w:rPr>
        <w:t xml:space="preserve"> </w:t>
      </w:r>
      <w:r>
        <w:rPr>
          <w:rFonts w:eastAsia="Calibri" w:cs="Arial"/>
          <w:sz w:val="22"/>
        </w:rPr>
        <w:t>O</w:t>
      </w:r>
      <w:r w:rsidRPr="008A7AF1">
        <w:rPr>
          <w:rFonts w:eastAsia="Calibri" w:cs="Arial"/>
          <w:sz w:val="22"/>
        </w:rPr>
        <w:t xml:space="preserve"> empenho é o primeiro estágio da despesa e pode ser conceituado como sendo o ato emanado de autoridade competente que cria para o Estado a obrigação de pagamento, pendente, ou não, de implemento de condição. Do valor total empenhado </w:t>
      </w:r>
      <w:r>
        <w:rPr>
          <w:rFonts w:eastAsia="Calibri" w:cs="Arial"/>
          <w:sz w:val="22"/>
        </w:rPr>
        <w:t xml:space="preserve">de </w:t>
      </w:r>
      <w:r w:rsidRPr="008A7AF1">
        <w:rPr>
          <w:rFonts w:eastAsia="Calibri" w:cs="Arial"/>
          <w:sz w:val="22"/>
        </w:rPr>
        <w:t xml:space="preserve">R$ </w:t>
      </w:r>
      <w:r w:rsidRPr="00CB6963">
        <w:rPr>
          <w:rFonts w:eastAsia="Calibri" w:cs="Arial"/>
          <w:sz w:val="22"/>
        </w:rPr>
        <w:t>606,95 milhões, foram pagos R$ 529,59</w:t>
      </w:r>
      <w:r w:rsidR="00CB7E7E">
        <w:rPr>
          <w:rFonts w:eastAsia="Calibri" w:cs="Arial"/>
          <w:sz w:val="22"/>
        </w:rPr>
        <w:t xml:space="preserve"> </w:t>
      </w:r>
      <w:r w:rsidRPr="00CB6963">
        <w:rPr>
          <w:rFonts w:eastAsia="Calibri" w:cs="Arial"/>
          <w:sz w:val="22"/>
        </w:rPr>
        <w:t>milhões</w:t>
      </w:r>
      <w:r w:rsidRPr="008A7AF1">
        <w:rPr>
          <w:rFonts w:eastAsia="Calibri" w:cs="Arial"/>
          <w:sz w:val="22"/>
        </w:rPr>
        <w:t xml:space="preserve">. </w:t>
      </w:r>
      <w:r w:rsidR="002000B5">
        <w:rPr>
          <w:rFonts w:eastAsia="Calibri" w:cs="Arial"/>
          <w:sz w:val="22"/>
        </w:rPr>
        <w:t xml:space="preserve">Observa-se </w:t>
      </w:r>
      <w:r w:rsidRPr="008A7AF1">
        <w:rPr>
          <w:rFonts w:eastAsia="Calibri" w:cs="Arial"/>
          <w:sz w:val="22"/>
        </w:rPr>
        <w:t>que</w:t>
      </w:r>
      <w:r w:rsidR="002000B5">
        <w:rPr>
          <w:rFonts w:eastAsia="Calibri" w:cs="Arial"/>
          <w:sz w:val="22"/>
        </w:rPr>
        <w:t xml:space="preserve"> uma</w:t>
      </w:r>
      <w:r w:rsidRPr="008A7AF1">
        <w:rPr>
          <w:rFonts w:eastAsia="Calibri" w:cs="Arial"/>
          <w:sz w:val="22"/>
        </w:rPr>
        <w:t xml:space="preserve"> parcela significativa dos gastos está relacionada às Despesas Correntes</w:t>
      </w:r>
      <w:r w:rsidR="00CB7E7E">
        <w:rPr>
          <w:rFonts w:eastAsia="Calibri" w:cs="Arial"/>
          <w:sz w:val="22"/>
        </w:rPr>
        <w:t xml:space="preserve"> que</w:t>
      </w:r>
      <w:r w:rsidRPr="008A7AF1">
        <w:rPr>
          <w:rFonts w:eastAsia="Calibri" w:cs="Arial"/>
          <w:sz w:val="22"/>
        </w:rPr>
        <w:t xml:space="preserve"> visam a manutenção e o funcionamento dos serviços públicos em geral</w:t>
      </w:r>
      <w:r>
        <w:rPr>
          <w:rFonts w:eastAsia="Calibri" w:cs="Arial"/>
          <w:sz w:val="22"/>
        </w:rPr>
        <w:t xml:space="preserve"> de atendimento às políticas públicas. </w:t>
      </w:r>
    </w:p>
    <w:p w14:paraId="36E1B8E9" w14:textId="1592B52A" w:rsidR="00924527" w:rsidRDefault="00924527" w:rsidP="00DC47FD">
      <w:pPr>
        <w:spacing w:before="120" w:line="240" w:lineRule="auto"/>
        <w:ind w:left="-567"/>
        <w:rPr>
          <w:rFonts w:eastAsia="Calibri" w:cs="Arial"/>
          <w:sz w:val="22"/>
        </w:rPr>
      </w:pPr>
      <w:r>
        <w:rPr>
          <w:rFonts w:eastAsia="Calibri" w:cs="Arial"/>
          <w:noProof/>
          <w:sz w:val="22"/>
          <w:lang w:eastAsia="pt-BR"/>
        </w:rPr>
        <w:lastRenderedPageBreak/>
        <w:drawing>
          <wp:inline distT="0" distB="0" distL="0" distR="0" wp14:anchorId="1BC26B95" wp14:editId="05CB934F">
            <wp:extent cx="6336000" cy="5813504"/>
            <wp:effectExtent l="0" t="0" r="8255"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6000" cy="5813504"/>
                    </a:xfrm>
                    <a:prstGeom prst="rect">
                      <a:avLst/>
                    </a:prstGeom>
                    <a:noFill/>
                  </pic:spPr>
                </pic:pic>
              </a:graphicData>
            </a:graphic>
          </wp:inline>
        </w:drawing>
      </w:r>
    </w:p>
    <w:p w14:paraId="39DD2BDE" w14:textId="532D8E99" w:rsidR="00531E99" w:rsidRPr="002E3EC5" w:rsidRDefault="00531E99" w:rsidP="00531E99">
      <w:pPr>
        <w:pStyle w:val="Legenda"/>
        <w:rPr>
          <w:rFonts w:ascii="Calibri" w:hAnsi="Calibri"/>
        </w:rPr>
      </w:pPr>
      <w:bookmarkStart w:id="27" w:name="_Toc161319862"/>
      <w:r w:rsidRPr="002E3EC5">
        <w:t xml:space="preserve">Tabela </w:t>
      </w:r>
      <w:r w:rsidR="006F713F">
        <w:fldChar w:fldCharType="begin"/>
      </w:r>
      <w:r w:rsidR="006F713F">
        <w:instrText xml:space="preserve"> STYLEREF 1 \s </w:instrText>
      </w:r>
      <w:r w:rsidR="006F713F">
        <w:fldChar w:fldCharType="separate"/>
      </w:r>
      <w:r w:rsidR="00247165">
        <w:rPr>
          <w:noProof/>
        </w:rPr>
        <w:t>3</w:t>
      </w:r>
      <w:r w:rsidR="006F713F">
        <w:rPr>
          <w:noProof/>
        </w:rPr>
        <w:fldChar w:fldCharType="end"/>
      </w:r>
      <w:r w:rsidRPr="002E3EC5">
        <w:noBreakHyphen/>
      </w:r>
      <w:r w:rsidR="006F713F">
        <w:fldChar w:fldCharType="begin"/>
      </w:r>
      <w:r w:rsidR="006F713F">
        <w:instrText xml:space="preserve"> SEQ Tabela \* ARABIC \s 1 </w:instrText>
      </w:r>
      <w:r w:rsidR="006F713F">
        <w:fldChar w:fldCharType="separate"/>
      </w:r>
      <w:r w:rsidR="00247165">
        <w:rPr>
          <w:noProof/>
        </w:rPr>
        <w:t>3</w:t>
      </w:r>
      <w:r w:rsidR="006F713F">
        <w:rPr>
          <w:noProof/>
        </w:rPr>
        <w:fldChar w:fldCharType="end"/>
      </w:r>
      <w:r w:rsidRPr="002E3EC5">
        <w:t xml:space="preserve"> </w:t>
      </w:r>
      <w:r>
        <w:t>Ações Orçamentárias</w:t>
      </w:r>
      <w:r w:rsidR="00BC2D37">
        <w:t xml:space="preserve"> de 2023</w:t>
      </w:r>
      <w:bookmarkEnd w:id="27"/>
    </w:p>
    <w:p w14:paraId="30273F49" w14:textId="4DEE9284" w:rsidR="00552CA8" w:rsidRDefault="00552CA8" w:rsidP="004C1ABF">
      <w:pPr>
        <w:spacing w:before="120" w:line="240" w:lineRule="auto"/>
        <w:rPr>
          <w:rFonts w:eastAsia="Calibri" w:cs="Arial"/>
          <w:sz w:val="22"/>
        </w:rPr>
      </w:pPr>
    </w:p>
    <w:p w14:paraId="5477C352" w14:textId="40C4A52D" w:rsidR="00552CA8" w:rsidRDefault="00552CA8">
      <w:pPr>
        <w:tabs>
          <w:tab w:val="clear" w:pos="851"/>
        </w:tabs>
        <w:spacing w:before="0" w:after="0" w:line="240" w:lineRule="auto"/>
        <w:jc w:val="left"/>
        <w:rPr>
          <w:rFonts w:eastAsia="Calibri" w:cs="Arial"/>
          <w:sz w:val="22"/>
        </w:rPr>
      </w:pPr>
      <w:r>
        <w:rPr>
          <w:rFonts w:eastAsia="Calibri" w:cs="Arial"/>
          <w:sz w:val="22"/>
        </w:rPr>
        <w:br w:type="page"/>
      </w:r>
    </w:p>
    <w:p w14:paraId="5119EAB6" w14:textId="48E92542" w:rsidR="00552CA8" w:rsidRPr="00AE3EC3" w:rsidRDefault="00552CA8" w:rsidP="004C1ABF">
      <w:pPr>
        <w:spacing w:before="120" w:line="240" w:lineRule="auto"/>
        <w:rPr>
          <w:rFonts w:eastAsia="Calibri" w:cs="Arial"/>
          <w:sz w:val="22"/>
        </w:rPr>
      </w:pPr>
      <w:r w:rsidRPr="00AE3EC3">
        <w:rPr>
          <w:rFonts w:eastAsia="Calibri" w:cs="Arial"/>
          <w:sz w:val="22"/>
        </w:rPr>
        <w:lastRenderedPageBreak/>
        <w:t xml:space="preserve">As ações orçamentárias utilizadas em 2023 foram: </w:t>
      </w:r>
    </w:p>
    <w:p w14:paraId="4CDF9B9E" w14:textId="65CE5500" w:rsidR="00F636E1" w:rsidRPr="005A57A5" w:rsidRDefault="00F636E1" w:rsidP="00F636E1">
      <w:pPr>
        <w:spacing w:before="120" w:line="240" w:lineRule="auto"/>
        <w:rPr>
          <w:rFonts w:eastAsia="Calibri" w:cs="Arial"/>
          <w:sz w:val="22"/>
        </w:rPr>
      </w:pPr>
      <w:r w:rsidRPr="005A57A5">
        <w:rPr>
          <w:rFonts w:eastAsia="Calibri" w:cs="Arial"/>
          <w:b/>
          <w:sz w:val="22"/>
        </w:rPr>
        <w:t>Ação 15UI</w:t>
      </w:r>
      <w:r>
        <w:rPr>
          <w:rFonts w:eastAsia="Calibri" w:cs="Arial"/>
          <w:sz w:val="22"/>
        </w:rPr>
        <w:t>:</w:t>
      </w:r>
      <w:r w:rsidRPr="005A57A5">
        <w:rPr>
          <w:rFonts w:eastAsia="Calibri" w:cs="Arial"/>
          <w:sz w:val="22"/>
        </w:rPr>
        <w:t xml:space="preserve"> Implantação da Infraestrutura para a Prestação de Serviço de Comunicação</w:t>
      </w:r>
      <w:r>
        <w:rPr>
          <w:rFonts w:eastAsia="Calibri" w:cs="Arial"/>
          <w:sz w:val="22"/>
        </w:rPr>
        <w:t xml:space="preserve"> de Dados para Inclusão Digital.</w:t>
      </w:r>
      <w:r w:rsidRPr="005A57A5">
        <w:rPr>
          <w:rFonts w:eastAsia="Calibri" w:cs="Arial"/>
          <w:sz w:val="22"/>
        </w:rPr>
        <w:t xml:space="preserve"> </w:t>
      </w:r>
      <w:r>
        <w:rPr>
          <w:rFonts w:eastAsia="Calibri" w:cs="Arial"/>
          <w:sz w:val="22"/>
        </w:rPr>
        <w:t>V</w:t>
      </w:r>
      <w:r w:rsidRPr="005A57A5">
        <w:rPr>
          <w:rFonts w:eastAsia="Calibri" w:cs="Arial"/>
          <w:sz w:val="22"/>
        </w:rPr>
        <w:t xml:space="preserve">isa proporcionar o acesso à Internet em banda larga aos cidadãos, instituições, Governo, entidades da sociedade civil e empresas. Expandir a cobertura do serviço, elevar a velocidade de transmissão e reduzir o preço final para o consumidor. Para isso, o Governo Federal instituiu o </w:t>
      </w:r>
      <w:r w:rsidRPr="00E10DDB">
        <w:rPr>
          <w:rFonts w:eastAsia="Calibri" w:cs="Arial"/>
          <w:i/>
          <w:sz w:val="22"/>
        </w:rPr>
        <w:t xml:space="preserve">Programa </w:t>
      </w:r>
      <w:r w:rsidR="006F27EF" w:rsidRPr="00E10DDB">
        <w:rPr>
          <w:rFonts w:eastAsia="Calibri" w:cs="Arial"/>
          <w:i/>
          <w:sz w:val="22"/>
        </w:rPr>
        <w:t>Conecta Brasil</w:t>
      </w:r>
      <w:r w:rsidRPr="005A57A5">
        <w:rPr>
          <w:rFonts w:eastAsia="Calibri" w:cs="Arial"/>
          <w:sz w:val="22"/>
        </w:rPr>
        <w:t xml:space="preserve">, mediante </w:t>
      </w:r>
      <w:r w:rsidRPr="00CB6963">
        <w:rPr>
          <w:rFonts w:eastAsia="Calibri" w:cs="Arial"/>
          <w:sz w:val="22"/>
        </w:rPr>
        <w:t>o Decreto nº 9.612, de 17 de dezembro de 2018. O</w:t>
      </w:r>
      <w:r w:rsidRPr="005A57A5">
        <w:rPr>
          <w:rFonts w:eastAsia="Calibri" w:cs="Arial"/>
          <w:sz w:val="22"/>
        </w:rPr>
        <w:t xml:space="preserve"> principal objetivo é massificar o acesso à Internet em banda larga para os cidadãos, instituições do </w:t>
      </w:r>
      <w:r>
        <w:rPr>
          <w:rFonts w:eastAsia="Calibri" w:cs="Arial"/>
          <w:sz w:val="22"/>
        </w:rPr>
        <w:t>G</w:t>
      </w:r>
      <w:r w:rsidRPr="005A57A5">
        <w:rPr>
          <w:rFonts w:eastAsia="Calibri" w:cs="Arial"/>
          <w:sz w:val="22"/>
        </w:rPr>
        <w:t>overno, entidades</w:t>
      </w:r>
      <w:r>
        <w:rPr>
          <w:rFonts w:eastAsia="Calibri" w:cs="Arial"/>
          <w:sz w:val="22"/>
        </w:rPr>
        <w:t xml:space="preserve"> da sociedade civil e empresas.</w:t>
      </w:r>
    </w:p>
    <w:p w14:paraId="3961E4A0" w14:textId="70A2FAD5" w:rsidR="00F636E1" w:rsidRPr="005A57A5" w:rsidRDefault="00F636E1" w:rsidP="00F636E1">
      <w:pPr>
        <w:spacing w:before="120" w:line="240" w:lineRule="auto"/>
        <w:rPr>
          <w:rFonts w:eastAsia="Calibri" w:cs="Arial"/>
          <w:sz w:val="22"/>
        </w:rPr>
      </w:pPr>
      <w:r w:rsidRPr="005A57A5">
        <w:rPr>
          <w:rFonts w:eastAsia="Calibri" w:cs="Arial"/>
          <w:b/>
          <w:sz w:val="22"/>
        </w:rPr>
        <w:t>Ação 21C8</w:t>
      </w:r>
      <w:r>
        <w:rPr>
          <w:rFonts w:eastAsia="Calibri" w:cs="Arial"/>
          <w:sz w:val="22"/>
        </w:rPr>
        <w:t>:</w:t>
      </w:r>
      <w:r w:rsidRPr="005A57A5">
        <w:rPr>
          <w:rFonts w:eastAsia="Calibri" w:cs="Arial"/>
          <w:sz w:val="22"/>
        </w:rPr>
        <w:t xml:space="preserve"> Operação da Infraestrutura da Rede de Serviço de Comunicação de D</w:t>
      </w:r>
      <w:r>
        <w:rPr>
          <w:rFonts w:eastAsia="Calibri" w:cs="Arial"/>
          <w:sz w:val="22"/>
        </w:rPr>
        <w:t>ados do Programa Conecta Brasil.</w:t>
      </w:r>
      <w:r w:rsidRPr="005A57A5">
        <w:rPr>
          <w:rFonts w:eastAsia="Calibri" w:cs="Arial"/>
          <w:sz w:val="22"/>
        </w:rPr>
        <w:t xml:space="preserve"> </w:t>
      </w:r>
      <w:r>
        <w:rPr>
          <w:rFonts w:eastAsia="Calibri" w:cs="Arial"/>
          <w:sz w:val="22"/>
        </w:rPr>
        <w:t>V</w:t>
      </w:r>
      <w:r w:rsidRPr="005A57A5">
        <w:rPr>
          <w:rFonts w:eastAsia="Calibri" w:cs="Arial"/>
          <w:sz w:val="22"/>
        </w:rPr>
        <w:t xml:space="preserve">isa a disponibilização e fornecimento dos serviços de comunicação multimídia contratados pelos clientes da Telebras, em observância às políticas públicas de telecomunicações e </w:t>
      </w:r>
      <w:r w:rsidR="00EB631F" w:rsidRPr="005A57A5">
        <w:rPr>
          <w:rFonts w:eastAsia="Calibri" w:cs="Arial"/>
          <w:sz w:val="22"/>
        </w:rPr>
        <w:t>a</w:t>
      </w:r>
      <w:r w:rsidRPr="005A57A5">
        <w:rPr>
          <w:rFonts w:eastAsia="Calibri" w:cs="Arial"/>
          <w:sz w:val="22"/>
        </w:rPr>
        <w:t xml:space="preserve"> finalidade e missão institucional da Telebras</w:t>
      </w:r>
      <w:r>
        <w:rPr>
          <w:rFonts w:eastAsia="Calibri" w:cs="Arial"/>
          <w:sz w:val="22"/>
        </w:rPr>
        <w:t>.</w:t>
      </w:r>
    </w:p>
    <w:p w14:paraId="2C4BD7D9" w14:textId="493DBAB3" w:rsidR="004C1ABF" w:rsidRPr="00140B59" w:rsidRDefault="002E01BF" w:rsidP="004C1ABF">
      <w:pPr>
        <w:spacing w:before="120" w:line="240" w:lineRule="auto"/>
        <w:rPr>
          <w:rFonts w:eastAsia="Calibri" w:cs="Arial"/>
          <w:sz w:val="22"/>
          <w:szCs w:val="22"/>
        </w:rPr>
      </w:pPr>
      <w:r>
        <w:rPr>
          <w:rFonts w:eastAsia="Calibri" w:cs="Arial"/>
          <w:b/>
          <w:sz w:val="22"/>
          <w:szCs w:val="22"/>
        </w:rPr>
        <w:t xml:space="preserve">Ação 0283: </w:t>
      </w:r>
      <w:r w:rsidR="004C1ABF" w:rsidRPr="00140B59">
        <w:rPr>
          <w:rFonts w:eastAsia="Calibri" w:cs="Arial"/>
          <w:sz w:val="22"/>
          <w:szCs w:val="22"/>
        </w:rPr>
        <w:t>Amortização e Encargos de Financiament</w:t>
      </w:r>
      <w:r>
        <w:rPr>
          <w:rFonts w:eastAsia="Calibri" w:cs="Arial"/>
          <w:sz w:val="22"/>
          <w:szCs w:val="22"/>
        </w:rPr>
        <w:t>o da Dívida Contratual Interna. V</w:t>
      </w:r>
      <w:r w:rsidR="004C1ABF" w:rsidRPr="00140B59">
        <w:rPr>
          <w:rFonts w:eastAsia="Calibri" w:cs="Arial"/>
          <w:sz w:val="22"/>
          <w:szCs w:val="22"/>
        </w:rPr>
        <w:t xml:space="preserve">isa a amortização e o pagamento de juros do financiamento firmado com a FINEP, Financiadora de Estudos e Projetos, destinado ao Projeto do Satélite Geoestacionário de Defesa e Comunicações, SGDC. </w:t>
      </w:r>
    </w:p>
    <w:p w14:paraId="74A46B6F" w14:textId="6F7B5B12" w:rsidR="004C1ABF" w:rsidRPr="00140B59" w:rsidRDefault="004C1ABF" w:rsidP="004C1ABF">
      <w:pPr>
        <w:spacing w:before="120" w:line="240" w:lineRule="auto"/>
        <w:rPr>
          <w:rFonts w:eastAsia="Calibri" w:cs="Arial"/>
          <w:sz w:val="22"/>
          <w:szCs w:val="22"/>
        </w:rPr>
      </w:pPr>
      <w:r w:rsidRPr="00140B59">
        <w:rPr>
          <w:rFonts w:eastAsia="Calibri" w:cs="Arial"/>
          <w:b/>
          <w:sz w:val="22"/>
          <w:szCs w:val="22"/>
        </w:rPr>
        <w:t>Ação 0022</w:t>
      </w:r>
      <w:r w:rsidR="002E01BF">
        <w:rPr>
          <w:rFonts w:eastAsia="Calibri" w:cs="Arial"/>
          <w:sz w:val="22"/>
          <w:szCs w:val="22"/>
        </w:rPr>
        <w:t>:</w:t>
      </w:r>
      <w:r w:rsidRPr="00140B59">
        <w:rPr>
          <w:rFonts w:eastAsia="Calibri" w:cs="Arial"/>
          <w:sz w:val="22"/>
          <w:szCs w:val="22"/>
        </w:rPr>
        <w:t xml:space="preserve"> Sentenças Judiciai</w:t>
      </w:r>
      <w:r w:rsidR="002E01BF">
        <w:rPr>
          <w:rFonts w:eastAsia="Calibri" w:cs="Arial"/>
          <w:sz w:val="22"/>
          <w:szCs w:val="22"/>
        </w:rPr>
        <w:t>s Devidas por Empresas Estatais.</w:t>
      </w:r>
      <w:r w:rsidRPr="00140B59">
        <w:rPr>
          <w:rFonts w:eastAsia="Calibri" w:cs="Arial"/>
          <w:sz w:val="22"/>
          <w:szCs w:val="22"/>
        </w:rPr>
        <w:t xml:space="preserve"> </w:t>
      </w:r>
      <w:r w:rsidR="002E01BF">
        <w:rPr>
          <w:rFonts w:eastAsia="Calibri" w:cs="Arial"/>
          <w:sz w:val="22"/>
          <w:szCs w:val="22"/>
        </w:rPr>
        <w:t>Refere-se</w:t>
      </w:r>
      <w:r w:rsidRPr="00140B59">
        <w:rPr>
          <w:rFonts w:eastAsia="Calibri" w:cs="Arial"/>
          <w:sz w:val="22"/>
          <w:szCs w:val="22"/>
        </w:rPr>
        <w:t xml:space="preserve"> </w:t>
      </w:r>
      <w:r w:rsidR="002E01BF">
        <w:rPr>
          <w:rFonts w:eastAsia="Calibri" w:cs="Arial"/>
          <w:sz w:val="22"/>
          <w:szCs w:val="22"/>
        </w:rPr>
        <w:t>a</w:t>
      </w:r>
      <w:r w:rsidRPr="00140B59">
        <w:rPr>
          <w:rFonts w:eastAsia="Calibri" w:cs="Arial"/>
          <w:sz w:val="22"/>
          <w:szCs w:val="22"/>
        </w:rPr>
        <w:t xml:space="preserve">o pagamento de despesas decorrentes do cumprimento de decisões judiciais, devidas por Empresas Públicas e Sociedades de Economia Mista. </w:t>
      </w:r>
    </w:p>
    <w:p w14:paraId="62BA65BA" w14:textId="285A1276" w:rsidR="004C1ABF" w:rsidRPr="00140B59" w:rsidRDefault="004C1ABF" w:rsidP="004C1ABF">
      <w:pPr>
        <w:spacing w:before="120" w:line="240" w:lineRule="auto"/>
        <w:rPr>
          <w:rFonts w:eastAsia="Calibri" w:cs="Arial"/>
          <w:sz w:val="22"/>
          <w:szCs w:val="22"/>
        </w:rPr>
      </w:pPr>
      <w:r w:rsidRPr="00140B59">
        <w:rPr>
          <w:rFonts w:eastAsia="Calibri" w:cs="Arial"/>
          <w:b/>
          <w:sz w:val="22"/>
          <w:szCs w:val="22"/>
        </w:rPr>
        <w:t>Ação 2000</w:t>
      </w:r>
      <w:r w:rsidR="002E01BF">
        <w:rPr>
          <w:rFonts w:eastAsia="Calibri" w:cs="Arial"/>
          <w:sz w:val="22"/>
          <w:szCs w:val="22"/>
        </w:rPr>
        <w:t>: Administração da Unidade.</w:t>
      </w:r>
      <w:r w:rsidRPr="00140B59">
        <w:rPr>
          <w:rFonts w:eastAsia="Calibri" w:cs="Arial"/>
          <w:sz w:val="22"/>
          <w:szCs w:val="22"/>
        </w:rPr>
        <w:t xml:space="preserve"> </w:t>
      </w:r>
      <w:r w:rsidR="002E01BF">
        <w:rPr>
          <w:rFonts w:eastAsia="Calibri" w:cs="Arial"/>
          <w:sz w:val="22"/>
          <w:szCs w:val="22"/>
        </w:rPr>
        <w:t>V</w:t>
      </w:r>
      <w:r w:rsidRPr="00140B59">
        <w:rPr>
          <w:rFonts w:eastAsia="Calibri" w:cs="Arial"/>
          <w:sz w:val="22"/>
          <w:szCs w:val="22"/>
        </w:rPr>
        <w:t xml:space="preserve">isa agregar as despesas que não são passíveis de apropriação em ações finalísticas, com fornecimento de produtos e serviços e demais atividades-meio necessárias à gestão e à administração da unidade. </w:t>
      </w:r>
    </w:p>
    <w:p w14:paraId="23DD79B2" w14:textId="6A4FCCB8" w:rsidR="004C1ABF" w:rsidRDefault="004C1ABF" w:rsidP="004C1ABF">
      <w:pPr>
        <w:spacing w:before="120" w:line="240" w:lineRule="auto"/>
        <w:rPr>
          <w:rFonts w:eastAsia="Calibri" w:cs="Arial"/>
          <w:sz w:val="22"/>
        </w:rPr>
      </w:pPr>
      <w:r w:rsidRPr="005A57A5">
        <w:rPr>
          <w:rFonts w:eastAsia="Calibri" w:cs="Arial"/>
          <w:b/>
          <w:sz w:val="22"/>
        </w:rPr>
        <w:t>Ação 20TP</w:t>
      </w:r>
      <w:r w:rsidR="002E01BF">
        <w:rPr>
          <w:rFonts w:eastAsia="Calibri" w:cs="Arial"/>
          <w:sz w:val="22"/>
        </w:rPr>
        <w:t>: Ativos Civis da União.</w:t>
      </w:r>
      <w:r w:rsidRPr="005A57A5">
        <w:rPr>
          <w:rFonts w:eastAsia="Calibri" w:cs="Arial"/>
          <w:sz w:val="22"/>
        </w:rPr>
        <w:t xml:space="preserve"> </w:t>
      </w:r>
      <w:r w:rsidR="002E01BF">
        <w:rPr>
          <w:rFonts w:eastAsia="Calibri" w:cs="Arial"/>
          <w:sz w:val="22"/>
        </w:rPr>
        <w:t>Se refere ao cumprimento</w:t>
      </w:r>
      <w:r w:rsidRPr="005A57A5">
        <w:rPr>
          <w:rFonts w:eastAsia="Calibri" w:cs="Arial"/>
          <w:sz w:val="22"/>
        </w:rPr>
        <w:t xml:space="preserve"> </w:t>
      </w:r>
      <w:r w:rsidR="002E01BF">
        <w:rPr>
          <w:rFonts w:eastAsia="Calibri" w:cs="Arial"/>
          <w:sz w:val="22"/>
        </w:rPr>
        <w:t>d</w:t>
      </w:r>
      <w:r w:rsidRPr="005A57A5">
        <w:rPr>
          <w:rFonts w:eastAsia="Calibri" w:cs="Arial"/>
          <w:sz w:val="22"/>
        </w:rPr>
        <w:t xml:space="preserve">os compromissos com a folha de pagamento dos empregados ativos civis da União. </w:t>
      </w:r>
    </w:p>
    <w:p w14:paraId="02927570" w14:textId="4BCDA5C1" w:rsidR="004C1ABF" w:rsidRPr="005A57A5" w:rsidRDefault="004C1ABF" w:rsidP="004C1ABF">
      <w:pPr>
        <w:spacing w:before="120" w:line="240" w:lineRule="auto"/>
        <w:rPr>
          <w:rFonts w:eastAsia="Calibri" w:cs="Arial"/>
          <w:sz w:val="22"/>
        </w:rPr>
      </w:pPr>
      <w:r w:rsidRPr="005A57A5">
        <w:rPr>
          <w:rFonts w:eastAsia="Calibri" w:cs="Arial"/>
          <w:b/>
          <w:sz w:val="22"/>
        </w:rPr>
        <w:t>Ação 2004</w:t>
      </w:r>
      <w:r w:rsidR="002E01BF">
        <w:rPr>
          <w:rFonts w:eastAsia="Calibri" w:cs="Arial"/>
          <w:sz w:val="22"/>
        </w:rPr>
        <w:t>:</w:t>
      </w:r>
      <w:r w:rsidRPr="005A57A5">
        <w:rPr>
          <w:rFonts w:eastAsia="Calibri" w:cs="Arial"/>
          <w:sz w:val="22"/>
        </w:rPr>
        <w:t xml:space="preserve"> Assistência Médica e Odontológica aos Servidores Civis, Empregados, Militares e seus Dependentes, concessão, em caráter suplementar, do benefício de assistência médico hospitalar e odontológica aos empregados, ativos e inativos, dependentes e pensionistas</w:t>
      </w:r>
      <w:r w:rsidR="00552CA8">
        <w:rPr>
          <w:rFonts w:eastAsia="Calibri" w:cs="Arial"/>
          <w:sz w:val="22"/>
        </w:rPr>
        <w:t>.</w:t>
      </w:r>
    </w:p>
    <w:p w14:paraId="47B00003" w14:textId="3BC930B9" w:rsidR="004C1ABF" w:rsidRPr="005A57A5" w:rsidRDefault="004C1ABF" w:rsidP="004C1ABF">
      <w:pPr>
        <w:spacing w:before="120" w:line="240" w:lineRule="auto"/>
        <w:rPr>
          <w:rFonts w:eastAsia="Calibri" w:cs="Arial"/>
          <w:sz w:val="22"/>
        </w:rPr>
      </w:pPr>
      <w:r w:rsidRPr="005A57A5">
        <w:rPr>
          <w:rFonts w:eastAsia="Calibri" w:cs="Arial"/>
          <w:b/>
          <w:sz w:val="22"/>
        </w:rPr>
        <w:t>Ação 212B</w:t>
      </w:r>
      <w:r w:rsidR="002E01BF">
        <w:rPr>
          <w:rFonts w:eastAsia="Calibri" w:cs="Arial"/>
          <w:sz w:val="22"/>
        </w:rPr>
        <w:t>:</w:t>
      </w:r>
      <w:r w:rsidRPr="005A57A5">
        <w:rPr>
          <w:rFonts w:eastAsia="Calibri" w:cs="Arial"/>
          <w:sz w:val="22"/>
        </w:rPr>
        <w:t xml:space="preserve"> Benefícios Obrigatórios aos Servidores Civis, Empregado</w:t>
      </w:r>
      <w:r w:rsidR="002E01BF">
        <w:rPr>
          <w:rFonts w:eastAsia="Calibri" w:cs="Arial"/>
          <w:sz w:val="22"/>
        </w:rPr>
        <w:t>s, Militares e seus Dependentes.</w:t>
      </w:r>
      <w:r w:rsidRPr="005A57A5">
        <w:rPr>
          <w:rFonts w:eastAsia="Calibri" w:cs="Arial"/>
          <w:sz w:val="22"/>
        </w:rPr>
        <w:t xml:space="preserve"> </w:t>
      </w:r>
    </w:p>
    <w:p w14:paraId="5A6ED871" w14:textId="3E89D5EA" w:rsidR="004C1ABF" w:rsidRPr="005A57A5" w:rsidRDefault="004C1ABF" w:rsidP="004C1ABF">
      <w:pPr>
        <w:spacing w:before="120" w:line="240" w:lineRule="auto"/>
        <w:rPr>
          <w:rFonts w:eastAsia="Calibri" w:cs="Arial"/>
          <w:sz w:val="22"/>
        </w:rPr>
      </w:pPr>
      <w:r w:rsidRPr="005A57A5">
        <w:rPr>
          <w:rFonts w:eastAsia="Calibri" w:cs="Arial"/>
          <w:b/>
          <w:sz w:val="22"/>
        </w:rPr>
        <w:t>Ação 216H</w:t>
      </w:r>
      <w:r w:rsidR="002E01BF">
        <w:rPr>
          <w:rFonts w:eastAsia="Calibri" w:cs="Arial"/>
          <w:sz w:val="22"/>
        </w:rPr>
        <w:t>:</w:t>
      </w:r>
      <w:r w:rsidRPr="005A57A5">
        <w:rPr>
          <w:rFonts w:eastAsia="Calibri" w:cs="Arial"/>
          <w:sz w:val="22"/>
        </w:rPr>
        <w:t xml:space="preserve"> Ajuda de Custo para Moradia ou Aux</w:t>
      </w:r>
      <w:r w:rsidR="002E01BF">
        <w:rPr>
          <w:rFonts w:eastAsia="Calibri" w:cs="Arial"/>
          <w:sz w:val="22"/>
        </w:rPr>
        <w:t>ílio-Moradia a Agentes Públicos.</w:t>
      </w:r>
      <w:r w:rsidRPr="005A57A5">
        <w:rPr>
          <w:rFonts w:eastAsia="Calibri" w:cs="Arial"/>
          <w:sz w:val="22"/>
        </w:rPr>
        <w:t xml:space="preserve"> </w:t>
      </w:r>
      <w:r w:rsidR="002E01BF">
        <w:rPr>
          <w:rFonts w:eastAsia="Calibri" w:cs="Arial"/>
          <w:sz w:val="22"/>
        </w:rPr>
        <w:t>V</w:t>
      </w:r>
      <w:r w:rsidRPr="005A57A5">
        <w:rPr>
          <w:rFonts w:eastAsia="Calibri" w:cs="Arial"/>
          <w:sz w:val="22"/>
        </w:rPr>
        <w:t>isa a ajuda de custo para moradia ou auxíli</w:t>
      </w:r>
      <w:r w:rsidR="002E01BF">
        <w:rPr>
          <w:rFonts w:eastAsia="Calibri" w:cs="Arial"/>
          <w:sz w:val="22"/>
        </w:rPr>
        <w:t>o-moradia.</w:t>
      </w:r>
    </w:p>
    <w:p w14:paraId="2A19AEEB" w14:textId="528D2139" w:rsidR="484B8F82" w:rsidRPr="00B710A5" w:rsidRDefault="004C1ABF" w:rsidP="00257659">
      <w:pPr>
        <w:spacing w:before="120" w:after="0" w:line="240" w:lineRule="auto"/>
        <w:rPr>
          <w:rFonts w:eastAsia="Calibri" w:cs="Arial"/>
          <w:sz w:val="22"/>
        </w:rPr>
      </w:pPr>
      <w:r w:rsidRPr="005A57A5">
        <w:rPr>
          <w:rFonts w:eastAsia="Calibri" w:cs="Arial"/>
          <w:b/>
          <w:sz w:val="22"/>
        </w:rPr>
        <w:t>Ação 0Z00</w:t>
      </w:r>
      <w:r w:rsidR="00B710A5">
        <w:rPr>
          <w:rFonts w:eastAsia="Calibri" w:cs="Arial"/>
          <w:sz w:val="22"/>
        </w:rPr>
        <w:t>:</w:t>
      </w:r>
      <w:r w:rsidRPr="005A57A5">
        <w:rPr>
          <w:rFonts w:eastAsia="Calibri" w:cs="Arial"/>
          <w:sz w:val="22"/>
        </w:rPr>
        <w:t xml:space="preserve"> Reser</w:t>
      </w:r>
      <w:r w:rsidR="00B710A5">
        <w:rPr>
          <w:rFonts w:eastAsia="Calibri" w:cs="Arial"/>
          <w:sz w:val="22"/>
        </w:rPr>
        <w:t>va de Contingência Financeira.</w:t>
      </w:r>
    </w:p>
    <w:p w14:paraId="580C8D66" w14:textId="10C4C0E0" w:rsidR="484B8F82" w:rsidRPr="00B31E89" w:rsidRDefault="484B8F82" w:rsidP="00257659">
      <w:pPr>
        <w:pStyle w:val="Ttulo3"/>
        <w:spacing w:before="360" w:after="240"/>
        <w:ind w:left="709" w:hanging="709"/>
        <w:rPr>
          <w:rFonts w:eastAsiaTheme="minorEastAsia"/>
        </w:rPr>
      </w:pPr>
      <w:bookmarkStart w:id="28" w:name="_Toc161319444"/>
      <w:r w:rsidRPr="00B31E89">
        <w:t>Execução dos Restos a Pagar (</w:t>
      </w:r>
      <w:r w:rsidR="007B48F1">
        <w:t>p</w:t>
      </w:r>
      <w:r w:rsidR="007B48F1" w:rsidRPr="00B31E89">
        <w:t xml:space="preserve">rocessados </w:t>
      </w:r>
      <w:r w:rsidRPr="00B31E89">
        <w:t xml:space="preserve">e </w:t>
      </w:r>
      <w:r w:rsidR="007B48F1">
        <w:t>n</w:t>
      </w:r>
      <w:r w:rsidR="007B48F1" w:rsidRPr="00B31E89">
        <w:t xml:space="preserve">ão </w:t>
      </w:r>
      <w:r w:rsidR="007B48F1">
        <w:t>p</w:t>
      </w:r>
      <w:r w:rsidR="007B48F1" w:rsidRPr="00B31E89">
        <w:t>rocessados</w:t>
      </w:r>
      <w:r w:rsidRPr="00B31E89">
        <w:t>)</w:t>
      </w:r>
      <w:bookmarkEnd w:id="28"/>
    </w:p>
    <w:p w14:paraId="5D8B29D3" w14:textId="12B1CD80" w:rsidR="004C1ABF" w:rsidRPr="0090232C" w:rsidRDefault="004C1ABF" w:rsidP="004C1ABF">
      <w:pPr>
        <w:spacing w:before="120" w:line="240" w:lineRule="auto"/>
        <w:rPr>
          <w:rFonts w:eastAsia="Calibri"/>
          <w:sz w:val="22"/>
        </w:rPr>
      </w:pPr>
      <w:r w:rsidRPr="0090232C">
        <w:rPr>
          <w:rFonts w:eastAsia="Calibri"/>
          <w:sz w:val="22"/>
        </w:rPr>
        <w:t xml:space="preserve">A empresa inscreveu em </w:t>
      </w:r>
      <w:r>
        <w:rPr>
          <w:rFonts w:eastAsia="Calibri"/>
          <w:sz w:val="22"/>
        </w:rPr>
        <w:t>R</w:t>
      </w:r>
      <w:r w:rsidRPr="0090232C">
        <w:rPr>
          <w:rFonts w:eastAsia="Calibri"/>
          <w:sz w:val="22"/>
        </w:rPr>
        <w:t xml:space="preserve">estos a </w:t>
      </w:r>
      <w:r>
        <w:rPr>
          <w:rFonts w:eastAsia="Calibri"/>
          <w:sz w:val="22"/>
        </w:rPr>
        <w:t>P</w:t>
      </w:r>
      <w:r w:rsidRPr="0090232C">
        <w:rPr>
          <w:rFonts w:eastAsia="Calibri"/>
          <w:sz w:val="22"/>
        </w:rPr>
        <w:t xml:space="preserve">agar (RP) processados e não processados o montante de R$ </w:t>
      </w:r>
      <w:r>
        <w:rPr>
          <w:rFonts w:eastAsia="Calibri"/>
          <w:sz w:val="22"/>
        </w:rPr>
        <w:t xml:space="preserve">227,79 </w:t>
      </w:r>
      <w:r w:rsidRPr="0090232C">
        <w:rPr>
          <w:rFonts w:eastAsia="Calibri"/>
          <w:sz w:val="22"/>
        </w:rPr>
        <w:t>milhões</w:t>
      </w:r>
      <w:r w:rsidR="006E0D9C">
        <w:rPr>
          <w:rFonts w:eastAsia="Calibri"/>
          <w:sz w:val="22"/>
        </w:rPr>
        <w:t>. Desse total,</w:t>
      </w:r>
      <w:r w:rsidRPr="0090232C">
        <w:rPr>
          <w:rFonts w:eastAsia="Calibri"/>
          <w:sz w:val="22"/>
        </w:rPr>
        <w:t xml:space="preserve"> R$ </w:t>
      </w:r>
      <w:r>
        <w:rPr>
          <w:rFonts w:eastAsia="Calibri"/>
          <w:sz w:val="22"/>
        </w:rPr>
        <w:t xml:space="preserve">39,08 </w:t>
      </w:r>
      <w:r w:rsidRPr="0090232C">
        <w:rPr>
          <w:rFonts w:eastAsia="Calibri"/>
          <w:sz w:val="22"/>
        </w:rPr>
        <w:t>milhões</w:t>
      </w:r>
      <w:r w:rsidR="006E0D9C">
        <w:rPr>
          <w:rFonts w:eastAsia="Calibri"/>
          <w:sz w:val="22"/>
        </w:rPr>
        <w:t xml:space="preserve"> foram cancelados</w:t>
      </w:r>
      <w:r w:rsidRPr="0090232C">
        <w:rPr>
          <w:rFonts w:eastAsia="Calibri"/>
          <w:sz w:val="22"/>
        </w:rPr>
        <w:t xml:space="preserve"> </w:t>
      </w:r>
      <w:r w:rsidR="006E0D9C">
        <w:rPr>
          <w:rFonts w:eastAsia="Calibri"/>
          <w:sz w:val="22"/>
        </w:rPr>
        <w:t xml:space="preserve">e </w:t>
      </w:r>
      <w:r w:rsidRPr="0090232C">
        <w:rPr>
          <w:rFonts w:eastAsia="Calibri"/>
          <w:sz w:val="22"/>
        </w:rPr>
        <w:t xml:space="preserve">R$ </w:t>
      </w:r>
      <w:r>
        <w:rPr>
          <w:rFonts w:eastAsia="Calibri"/>
          <w:sz w:val="22"/>
        </w:rPr>
        <w:t xml:space="preserve">169,61 </w:t>
      </w:r>
      <w:r w:rsidRPr="0090232C">
        <w:rPr>
          <w:rFonts w:eastAsia="Calibri"/>
          <w:sz w:val="22"/>
        </w:rPr>
        <w:t>milhões</w:t>
      </w:r>
      <w:r w:rsidR="006E0D9C">
        <w:rPr>
          <w:rFonts w:eastAsia="Calibri"/>
          <w:sz w:val="22"/>
        </w:rPr>
        <w:t xml:space="preserve"> foram pagos</w:t>
      </w:r>
      <w:r w:rsidRPr="0090232C">
        <w:rPr>
          <w:rFonts w:eastAsia="Calibri"/>
          <w:sz w:val="22"/>
        </w:rPr>
        <w:t xml:space="preserve"> </w:t>
      </w:r>
      <w:r w:rsidR="002F5E1D">
        <w:rPr>
          <w:rFonts w:eastAsia="Calibri"/>
          <w:sz w:val="22"/>
        </w:rPr>
        <w:t>em</w:t>
      </w:r>
      <w:r w:rsidRPr="0090232C">
        <w:rPr>
          <w:rFonts w:eastAsia="Calibri"/>
          <w:sz w:val="22"/>
        </w:rPr>
        <w:t xml:space="preserve"> 202</w:t>
      </w:r>
      <w:r>
        <w:rPr>
          <w:rFonts w:eastAsia="Calibri"/>
          <w:sz w:val="22"/>
        </w:rPr>
        <w:t>3</w:t>
      </w:r>
      <w:r w:rsidR="006E0D9C">
        <w:rPr>
          <w:rFonts w:eastAsia="Calibri"/>
          <w:sz w:val="22"/>
        </w:rPr>
        <w:t>,</w:t>
      </w:r>
      <w:r w:rsidRPr="0090232C">
        <w:rPr>
          <w:rFonts w:eastAsia="Calibri"/>
          <w:sz w:val="22"/>
        </w:rPr>
        <w:t xml:space="preserve"> </w:t>
      </w:r>
      <w:r w:rsidR="006E0D9C">
        <w:rPr>
          <w:rFonts w:eastAsia="Calibri"/>
          <w:sz w:val="22"/>
        </w:rPr>
        <w:t xml:space="preserve">restando um saldo de RP </w:t>
      </w:r>
      <w:r w:rsidRPr="0090232C">
        <w:rPr>
          <w:rFonts w:eastAsia="Calibri"/>
          <w:sz w:val="22"/>
        </w:rPr>
        <w:t xml:space="preserve">de R$ </w:t>
      </w:r>
      <w:r>
        <w:rPr>
          <w:rFonts w:eastAsia="Calibri"/>
          <w:sz w:val="22"/>
        </w:rPr>
        <w:t xml:space="preserve">19,10 </w:t>
      </w:r>
      <w:r w:rsidRPr="0090232C">
        <w:rPr>
          <w:rFonts w:eastAsia="Calibri"/>
          <w:sz w:val="22"/>
        </w:rPr>
        <w:t xml:space="preserve">milhões. </w:t>
      </w:r>
    </w:p>
    <w:p w14:paraId="308E5B60" w14:textId="192AF773" w:rsidR="00253E3B" w:rsidRPr="0090232C" w:rsidRDefault="00674005" w:rsidP="004C1ABF">
      <w:pPr>
        <w:spacing w:before="120" w:line="240" w:lineRule="auto"/>
        <w:rPr>
          <w:rFonts w:eastAsia="Calibri"/>
          <w:sz w:val="22"/>
        </w:rPr>
      </w:pPr>
      <w:r>
        <w:rPr>
          <w:rFonts w:eastAsia="Calibri"/>
          <w:sz w:val="22"/>
        </w:rPr>
        <w:t>As a</w:t>
      </w:r>
      <w:r w:rsidR="004C1ABF" w:rsidRPr="0090232C">
        <w:rPr>
          <w:rFonts w:eastAsia="Calibri"/>
          <w:sz w:val="22"/>
        </w:rPr>
        <w:t>ções</w:t>
      </w:r>
      <w:r w:rsidR="00DE14E3">
        <w:rPr>
          <w:rFonts w:eastAsia="Calibri"/>
          <w:sz w:val="22"/>
        </w:rPr>
        <w:t xml:space="preserve"> com maiores valores pagos foram</w:t>
      </w:r>
      <w:r w:rsidR="004C1ABF" w:rsidRPr="0090232C">
        <w:rPr>
          <w:rFonts w:eastAsia="Calibri"/>
          <w:sz w:val="22"/>
        </w:rPr>
        <w:t xml:space="preserve">: 15UI, 15UJ, 21C8, 2000, 20TP. As três primeiras estão </w:t>
      </w:r>
      <w:proofErr w:type="gramStart"/>
      <w:r w:rsidR="004C1ABF" w:rsidRPr="0090232C">
        <w:rPr>
          <w:rFonts w:eastAsia="Calibri"/>
          <w:sz w:val="22"/>
        </w:rPr>
        <w:t>relacionadas</w:t>
      </w:r>
      <w:proofErr w:type="gramEnd"/>
      <w:r w:rsidR="004C1ABF" w:rsidRPr="0090232C">
        <w:rPr>
          <w:rFonts w:eastAsia="Calibri"/>
          <w:sz w:val="22"/>
        </w:rPr>
        <w:t xml:space="preserve"> com investimentos, m</w:t>
      </w:r>
      <w:r w:rsidR="00DE14E3">
        <w:rPr>
          <w:rFonts w:eastAsia="Calibri"/>
          <w:sz w:val="22"/>
        </w:rPr>
        <w:t>anutenção da rede e do satélite. Já</w:t>
      </w:r>
      <w:r w:rsidR="004C1ABF" w:rsidRPr="0090232C">
        <w:rPr>
          <w:rFonts w:eastAsia="Calibri"/>
          <w:sz w:val="22"/>
        </w:rPr>
        <w:t xml:space="preserve"> a Ação 2000 está relacionada com a parte administrativa</w:t>
      </w:r>
      <w:r w:rsidR="00DE14E3">
        <w:rPr>
          <w:rFonts w:eastAsia="Calibri"/>
          <w:sz w:val="22"/>
        </w:rPr>
        <w:t xml:space="preserve">, </w:t>
      </w:r>
      <w:proofErr w:type="gramStart"/>
      <w:r w:rsidR="00DE14E3">
        <w:rPr>
          <w:rFonts w:eastAsia="Calibri"/>
          <w:sz w:val="22"/>
        </w:rPr>
        <w:t>enquanto que</w:t>
      </w:r>
      <w:proofErr w:type="gramEnd"/>
      <w:r w:rsidR="004C1ABF" w:rsidRPr="0090232C">
        <w:rPr>
          <w:rFonts w:eastAsia="Calibri"/>
          <w:sz w:val="22"/>
        </w:rPr>
        <w:t xml:space="preserve"> a </w:t>
      </w:r>
      <w:r>
        <w:rPr>
          <w:rFonts w:eastAsia="Calibri"/>
          <w:sz w:val="22"/>
        </w:rPr>
        <w:t xml:space="preserve">20TP se refere à </w:t>
      </w:r>
      <w:r w:rsidR="004C1ABF" w:rsidRPr="0090232C">
        <w:rPr>
          <w:rFonts w:eastAsia="Calibri"/>
          <w:sz w:val="22"/>
        </w:rPr>
        <w:t>folha de pagamento de pessoal.</w:t>
      </w:r>
    </w:p>
    <w:p w14:paraId="76478CF4" w14:textId="7B2AA30D" w:rsidR="004C1ABF" w:rsidRDefault="00924527" w:rsidP="00B83E22">
      <w:pPr>
        <w:spacing w:before="120" w:line="240" w:lineRule="auto"/>
        <w:ind w:left="-709"/>
        <w:rPr>
          <w:rFonts w:eastAsia="Calibri"/>
          <w:sz w:val="22"/>
          <w:highlight w:val="yellow"/>
        </w:rPr>
      </w:pPr>
      <w:r w:rsidRPr="003B40B6">
        <w:rPr>
          <w:rFonts w:eastAsia="Calibri"/>
          <w:noProof/>
          <w:sz w:val="22"/>
          <w:lang w:eastAsia="pt-BR"/>
        </w:rPr>
        <w:lastRenderedPageBreak/>
        <w:drawing>
          <wp:inline distT="0" distB="0" distL="0" distR="0" wp14:anchorId="088FB410" wp14:editId="20BA94B4">
            <wp:extent cx="6264000" cy="6005195"/>
            <wp:effectExtent l="0" t="0" r="381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64000" cy="6005195"/>
                    </a:xfrm>
                    <a:prstGeom prst="rect">
                      <a:avLst/>
                    </a:prstGeom>
                    <a:noFill/>
                  </pic:spPr>
                </pic:pic>
              </a:graphicData>
            </a:graphic>
          </wp:inline>
        </w:drawing>
      </w:r>
    </w:p>
    <w:p w14:paraId="796735C5" w14:textId="6D93A9CD" w:rsidR="00531E99" w:rsidRDefault="00531E99" w:rsidP="00531E99">
      <w:pPr>
        <w:pStyle w:val="Legenda"/>
        <w:spacing w:before="120" w:after="0"/>
        <w:rPr>
          <w:rFonts w:ascii="Calibri" w:eastAsia="Calibri" w:hAnsi="Calibri" w:cs="Calibri"/>
          <w:color w:val="44546A"/>
        </w:rPr>
      </w:pPr>
      <w:bookmarkStart w:id="29" w:name="_Toc161319863"/>
      <w:r w:rsidRPr="00531E99">
        <w:t xml:space="preserve">Tabela </w:t>
      </w:r>
      <w:r w:rsidR="006F713F">
        <w:fldChar w:fldCharType="begin"/>
      </w:r>
      <w:r w:rsidR="006F713F">
        <w:instrText xml:space="preserve"> STYLEREF 1 \s </w:instrText>
      </w:r>
      <w:r w:rsidR="006F713F">
        <w:fldChar w:fldCharType="separate"/>
      </w:r>
      <w:r w:rsidR="00247165">
        <w:rPr>
          <w:noProof/>
        </w:rPr>
        <w:t>3</w:t>
      </w:r>
      <w:r w:rsidR="006F713F">
        <w:rPr>
          <w:noProof/>
        </w:rPr>
        <w:fldChar w:fldCharType="end"/>
      </w:r>
      <w:r w:rsidRPr="00531E99">
        <w:noBreakHyphen/>
      </w:r>
      <w:r w:rsidR="006F713F">
        <w:fldChar w:fldCharType="begin"/>
      </w:r>
      <w:r w:rsidR="006F713F">
        <w:instrText xml:space="preserve"> SEQ Tabela \* ARABIC \s 1 </w:instrText>
      </w:r>
      <w:r w:rsidR="006F713F">
        <w:fldChar w:fldCharType="separate"/>
      </w:r>
      <w:r w:rsidR="00247165">
        <w:rPr>
          <w:noProof/>
        </w:rPr>
        <w:t>4</w:t>
      </w:r>
      <w:r w:rsidR="006F713F">
        <w:rPr>
          <w:noProof/>
        </w:rPr>
        <w:fldChar w:fldCharType="end"/>
      </w:r>
      <w:r w:rsidRPr="00531E99">
        <w:t xml:space="preserve"> Execução dos Restos a Pagar</w:t>
      </w:r>
      <w:bookmarkEnd w:id="29"/>
      <w:r w:rsidRPr="00531E99">
        <w:rPr>
          <w:rFonts w:ascii="Calibri" w:eastAsia="Calibri" w:hAnsi="Calibri" w:cs="Calibri"/>
          <w:color w:val="44546A"/>
        </w:rPr>
        <w:t xml:space="preserve"> </w:t>
      </w:r>
    </w:p>
    <w:p w14:paraId="64D4F4B0" w14:textId="2BBD4957" w:rsidR="00EE2214" w:rsidRDefault="00EE2214">
      <w:pPr>
        <w:tabs>
          <w:tab w:val="clear" w:pos="851"/>
        </w:tabs>
        <w:spacing w:before="0" w:after="0" w:line="240" w:lineRule="auto"/>
        <w:jc w:val="left"/>
        <w:rPr>
          <w:rFonts w:eastAsia="Calibri"/>
        </w:rPr>
      </w:pPr>
      <w:r>
        <w:rPr>
          <w:rFonts w:eastAsia="Calibri"/>
        </w:rPr>
        <w:br w:type="page"/>
      </w:r>
    </w:p>
    <w:p w14:paraId="3871DD2E" w14:textId="321480CF" w:rsidR="00EE2214" w:rsidRPr="00B31E89" w:rsidRDefault="00EE2214" w:rsidP="00EE2214">
      <w:pPr>
        <w:pStyle w:val="Ttulo3"/>
        <w:spacing w:before="360" w:after="240"/>
        <w:ind w:left="709" w:hanging="709"/>
        <w:rPr>
          <w:rFonts w:eastAsiaTheme="minorEastAsia"/>
        </w:rPr>
      </w:pPr>
      <w:bookmarkStart w:id="30" w:name="_Toc161319445"/>
      <w:r w:rsidRPr="00B31E89">
        <w:lastRenderedPageBreak/>
        <w:t xml:space="preserve">Execução </w:t>
      </w:r>
      <w:r>
        <w:t>de Pagamentos</w:t>
      </w:r>
      <w:bookmarkEnd w:id="30"/>
      <w:r>
        <w:t xml:space="preserve"> </w:t>
      </w:r>
    </w:p>
    <w:p w14:paraId="662E7BFC" w14:textId="222BAC93" w:rsidR="00EE2214" w:rsidRDefault="00EE2214" w:rsidP="00EE2214">
      <w:pPr>
        <w:rPr>
          <w:rFonts w:eastAsia="Calibri"/>
        </w:rPr>
      </w:pPr>
      <w:r w:rsidRPr="00CF06CE">
        <w:rPr>
          <w:rFonts w:eastAsia="Calibri"/>
          <w:noProof/>
          <w:lang w:eastAsia="pt-BR"/>
        </w:rPr>
        <w:drawing>
          <wp:anchor distT="0" distB="0" distL="114300" distR="114300" simplePos="0" relativeHeight="251660291" behindDoc="0" locked="0" layoutInCell="1" allowOverlap="1" wp14:anchorId="559DA423" wp14:editId="1BAEB5EC">
            <wp:simplePos x="0" y="0"/>
            <wp:positionH relativeFrom="margin">
              <wp:align>right</wp:align>
            </wp:positionH>
            <wp:positionV relativeFrom="paragraph">
              <wp:posOffset>865118</wp:posOffset>
            </wp:positionV>
            <wp:extent cx="5760720" cy="3444240"/>
            <wp:effectExtent l="0" t="0" r="0" b="3810"/>
            <wp:wrapSquare wrapText="bothSides"/>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3444240"/>
                    </a:xfrm>
                    <a:prstGeom prst="rect">
                      <a:avLst/>
                    </a:prstGeom>
                    <a:noFill/>
                    <a:ln>
                      <a:noFill/>
                    </a:ln>
                  </pic:spPr>
                </pic:pic>
              </a:graphicData>
            </a:graphic>
          </wp:anchor>
        </w:drawing>
      </w:r>
      <w:r w:rsidRPr="00F51678">
        <w:rPr>
          <w:rFonts w:eastAsia="Calibri"/>
        </w:rPr>
        <w:t xml:space="preserve">Em referência aos pagamentos das despesas correntes e de capital de 2023, incluindo Restos a Pagar, distribuídos entre Financeiras, </w:t>
      </w:r>
      <w:proofErr w:type="gramStart"/>
      <w:r w:rsidRPr="00F51678">
        <w:rPr>
          <w:rFonts w:eastAsia="Calibri"/>
        </w:rPr>
        <w:t>Obrigatórias e Discricionárias</w:t>
      </w:r>
      <w:proofErr w:type="gramEnd"/>
      <w:r w:rsidRPr="00F51678">
        <w:rPr>
          <w:rFonts w:eastAsia="Calibri"/>
        </w:rPr>
        <w:t>, disponibiliza-se na tabela a seguir sua composição total do ano.</w:t>
      </w:r>
    </w:p>
    <w:p w14:paraId="2791827D" w14:textId="459B9CD5" w:rsidR="00247165" w:rsidRDefault="00247165" w:rsidP="00247165">
      <w:pPr>
        <w:pStyle w:val="Legenda"/>
        <w:rPr>
          <w:rFonts w:eastAsia="Calibri"/>
        </w:rPr>
      </w:pPr>
      <w:bookmarkStart w:id="31" w:name="_Toc161319864"/>
      <w:r>
        <w:t>Tabela 3-</w:t>
      </w:r>
      <w:r w:rsidR="006F713F">
        <w:fldChar w:fldCharType="begin"/>
      </w:r>
      <w:r w:rsidR="006F713F">
        <w:instrText xml:space="preserve"> SEQ Tabela \* ARABIC </w:instrText>
      </w:r>
      <w:r w:rsidR="006F713F">
        <w:fldChar w:fldCharType="separate"/>
      </w:r>
      <w:r>
        <w:rPr>
          <w:noProof/>
        </w:rPr>
        <w:t>5</w:t>
      </w:r>
      <w:r w:rsidR="006F713F">
        <w:rPr>
          <w:noProof/>
        </w:rPr>
        <w:fldChar w:fldCharType="end"/>
      </w:r>
      <w:r>
        <w:t xml:space="preserve"> Execução de Pagamentos</w:t>
      </w:r>
      <w:bookmarkEnd w:id="31"/>
    </w:p>
    <w:p w14:paraId="2057712E" w14:textId="654F2028" w:rsidR="00EE2214" w:rsidRDefault="00EE2214" w:rsidP="00EE2214">
      <w:pPr>
        <w:rPr>
          <w:rFonts w:eastAsia="Calibri"/>
        </w:rPr>
      </w:pPr>
      <w:r w:rsidRPr="00F51678">
        <w:rPr>
          <w:rFonts w:eastAsia="Calibri"/>
        </w:rPr>
        <w:t>Ressalta-se que as Despesas</w:t>
      </w:r>
      <w:r>
        <w:rPr>
          <w:rFonts w:eastAsia="Calibri"/>
        </w:rPr>
        <w:t xml:space="preserve"> Discricionárias </w:t>
      </w:r>
      <w:r w:rsidRPr="00F51678">
        <w:rPr>
          <w:rFonts w:eastAsia="Calibri"/>
        </w:rPr>
        <w:t xml:space="preserve">de Capital foram realizadas com recursos do Tesouro e Recursos próprios que totalizam R$ 109,8 milhões, sendo que </w:t>
      </w:r>
      <w:r>
        <w:rPr>
          <w:rFonts w:eastAsia="Calibri"/>
        </w:rPr>
        <w:t xml:space="preserve">os </w:t>
      </w:r>
      <w:r w:rsidRPr="00F51678">
        <w:rPr>
          <w:rFonts w:eastAsia="Calibri"/>
        </w:rPr>
        <w:t>recursos da categoria econômica de capital da fonte Tesouro proveniente do AFAC de 2023 correspondem a R$ 44,41 milhões.</w:t>
      </w:r>
    </w:p>
    <w:p w14:paraId="2F6E948E" w14:textId="77777777" w:rsidR="00612654" w:rsidRPr="00AE3EC3" w:rsidRDefault="00612654" w:rsidP="00AE3EC3">
      <w:pPr>
        <w:rPr>
          <w:rFonts w:eastAsia="Calibri"/>
        </w:rPr>
      </w:pPr>
    </w:p>
    <w:p w14:paraId="629BA344" w14:textId="392B1A7A" w:rsidR="00BB1440" w:rsidRPr="00AE3EC3" w:rsidRDefault="00BB1440" w:rsidP="00E564AA">
      <w:pPr>
        <w:pStyle w:val="Ttulo2"/>
        <w:spacing w:before="240" w:after="240" w:line="276" w:lineRule="auto"/>
        <w:ind w:left="567" w:hanging="567"/>
      </w:pPr>
      <w:bookmarkStart w:id="32" w:name="_Toc161319446"/>
      <w:r w:rsidRPr="00AE3EC3">
        <w:t>Investimentos em sociedades coligadas e/ou controladas</w:t>
      </w:r>
      <w:bookmarkEnd w:id="32"/>
    </w:p>
    <w:p w14:paraId="2C63267E" w14:textId="4A8CE354" w:rsidR="00CC4128" w:rsidRPr="00CC4128" w:rsidRDefault="00CC4128" w:rsidP="00CC4128">
      <w:pPr>
        <w:spacing w:before="120" w:line="240" w:lineRule="auto"/>
        <w:rPr>
          <w:sz w:val="22"/>
        </w:rPr>
      </w:pPr>
      <w:r w:rsidRPr="00CC4128">
        <w:rPr>
          <w:sz w:val="22"/>
        </w:rPr>
        <w:t>A Telebras possui participação na VISIONA Tecnologia Espacial S.A., uma empresa criada em 14 de junho de 2011, localizada em São José dos Campos, São Paulo. A VISIONA atua em uma ampla gama de atividades aeroespaciais, incluindo pesquisa, desenvolvimento, fabricação e prestação de serviços relacionados a satélites e sistemas aeroespaciais. Seu foco abrange desde a manutenção e modernização até a comercialização e operação de satélites, estações de terra, e outros equipamentos, visando atender às demandas do Governo Federal no âmbito do Programa Nacional de Banda Larga (PNBL) e comunicações estratégicas de defesa e governamentais.</w:t>
      </w:r>
    </w:p>
    <w:p w14:paraId="0D282333" w14:textId="719DDD16" w:rsidR="00BB1440" w:rsidRPr="00337BFF" w:rsidRDefault="00CC4128" w:rsidP="00CC4128">
      <w:pPr>
        <w:spacing w:before="120" w:line="240" w:lineRule="auto"/>
        <w:rPr>
          <w:highlight w:val="yellow"/>
        </w:rPr>
      </w:pPr>
      <w:r w:rsidRPr="00CC4128">
        <w:rPr>
          <w:sz w:val="22"/>
        </w:rPr>
        <w:t xml:space="preserve">A VISIONA é uma </w:t>
      </w:r>
      <w:r w:rsidR="00BC2D37">
        <w:rPr>
          <w:sz w:val="22"/>
        </w:rPr>
        <w:t xml:space="preserve">sociedade empresarial </w:t>
      </w:r>
      <w:r w:rsidRPr="00CC4128">
        <w:rPr>
          <w:sz w:val="22"/>
        </w:rPr>
        <w:t xml:space="preserve">entre a Embraer Defesa e Segurança Participações S.A., que possui 51% do capital social, e a Telecomunicações Brasileiras S.A. (Telebras), que detém os restantes </w:t>
      </w:r>
      <w:r w:rsidRPr="00CC4128">
        <w:rPr>
          <w:sz w:val="22"/>
        </w:rPr>
        <w:lastRenderedPageBreak/>
        <w:t>49%. A gestão e o controle da empresa são exercidos pela Embraer Defesa e Segurança Participações S.A., posicionando a VISIONA como um agente fundamental no desenvolvimento da infraestrutura aeroespacial brasileira e na promoção da inovação tecnológica para comunicações estratégicas e de defesa.</w:t>
      </w:r>
    </w:p>
    <w:p w14:paraId="19109B99" w14:textId="04348B68" w:rsidR="00845FA3" w:rsidRPr="00E127C5" w:rsidRDefault="00750A1A" w:rsidP="008A5AAB">
      <w:pPr>
        <w:pStyle w:val="Ttulo1"/>
        <w:spacing w:after="240"/>
        <w:ind w:left="567" w:hanging="567"/>
      </w:pPr>
      <w:bookmarkStart w:id="33" w:name="_Toc161319447"/>
      <w:r w:rsidRPr="00E127C5">
        <w:lastRenderedPageBreak/>
        <w:t xml:space="preserve">Interesse coletivo e execução de </w:t>
      </w:r>
      <w:r w:rsidR="3C5723AB" w:rsidRPr="00E127C5">
        <w:t>Políticas Públicas</w:t>
      </w:r>
      <w:bookmarkEnd w:id="33"/>
    </w:p>
    <w:p w14:paraId="7421F24E" w14:textId="1DBA3C44" w:rsidR="00C30F1D" w:rsidRPr="00E127C5" w:rsidRDefault="00C30F1D">
      <w:pPr>
        <w:spacing w:before="120" w:line="240" w:lineRule="auto"/>
        <w:rPr>
          <w:sz w:val="22"/>
        </w:rPr>
      </w:pPr>
      <w:r w:rsidRPr="00E127C5">
        <w:rPr>
          <w:sz w:val="22"/>
        </w:rPr>
        <w:t>Em 202</w:t>
      </w:r>
      <w:r w:rsidR="00C76FF8">
        <w:rPr>
          <w:sz w:val="22"/>
        </w:rPr>
        <w:t>3</w:t>
      </w:r>
      <w:r w:rsidRPr="00E127C5">
        <w:rPr>
          <w:sz w:val="22"/>
        </w:rPr>
        <w:t>,</w:t>
      </w:r>
      <w:r w:rsidR="00514954" w:rsidRPr="00514954">
        <w:rPr>
          <w:sz w:val="22"/>
        </w:rPr>
        <w:t xml:space="preserve"> a Telebras desempenhou um papel fundamental na promoção da inclusão digital através do Programa Wi-Fi Brasil. Sob a coordenação do Ministério das Comunicações, este programa visa proporcionar acesso à internet de banda larga de alta qualidade em regiões remotas e comunidades vulneráveis do Brasil. </w:t>
      </w:r>
      <w:r w:rsidR="00BC2D37" w:rsidRPr="00BC2D37">
        <w:rPr>
          <w:sz w:val="22"/>
        </w:rPr>
        <w:t xml:space="preserve">Segundo dados fornecidos no portal do Ministério das Comunicações em 21 de dezembro de 2023, </w:t>
      </w:r>
      <w:r w:rsidR="00BC2D37">
        <w:rPr>
          <w:sz w:val="22"/>
        </w:rPr>
        <w:t>a</w:t>
      </w:r>
      <w:r w:rsidR="00514954" w:rsidRPr="00514954">
        <w:rPr>
          <w:sz w:val="22"/>
        </w:rPr>
        <w:t>té o final de 2023, a Telebras instalou mais de 20,7 mil pontos de acesso em todo o país, com impactos significativos nas seguintes áreas:</w:t>
      </w:r>
    </w:p>
    <w:p w14:paraId="6EBB37CE" w14:textId="27DCE333" w:rsidR="000F63FE" w:rsidRPr="00E127C5" w:rsidRDefault="000F63FE" w:rsidP="00AE3EC3">
      <w:pPr>
        <w:spacing w:line="240" w:lineRule="auto"/>
        <w:rPr>
          <w:sz w:val="22"/>
        </w:rPr>
      </w:pPr>
      <w:r w:rsidRPr="00E127C5">
        <w:rPr>
          <w:b/>
          <w:bCs/>
          <w:sz w:val="22"/>
        </w:rPr>
        <w:t>Educação:</w:t>
      </w:r>
      <w:r w:rsidRPr="00E127C5">
        <w:rPr>
          <w:sz w:val="22"/>
        </w:rPr>
        <w:t xml:space="preserve"> </w:t>
      </w:r>
      <w:r w:rsidR="001F736D">
        <w:rPr>
          <w:sz w:val="22"/>
        </w:rPr>
        <w:t>Com</w:t>
      </w:r>
      <w:r w:rsidR="001F736D" w:rsidRPr="00E127C5">
        <w:rPr>
          <w:sz w:val="22"/>
        </w:rPr>
        <w:t xml:space="preserve"> </w:t>
      </w:r>
      <w:r w:rsidR="006344E5" w:rsidRPr="00E127C5">
        <w:rPr>
          <w:sz w:val="22"/>
        </w:rPr>
        <w:t>16</w:t>
      </w:r>
      <w:r w:rsidR="00C76FF8">
        <w:rPr>
          <w:sz w:val="22"/>
        </w:rPr>
        <w:t>,4</w:t>
      </w:r>
      <w:r w:rsidRPr="00E127C5">
        <w:rPr>
          <w:sz w:val="22"/>
        </w:rPr>
        <w:t xml:space="preserve"> mil pontos em escolas, </w:t>
      </w:r>
      <w:r w:rsidR="00C822C9">
        <w:rPr>
          <w:sz w:val="22"/>
        </w:rPr>
        <w:t xml:space="preserve">aproximadamente </w:t>
      </w:r>
      <w:r w:rsidR="006344E5" w:rsidRPr="00E127C5">
        <w:rPr>
          <w:sz w:val="22"/>
        </w:rPr>
        <w:t>4</w:t>
      </w:r>
      <w:r w:rsidRPr="00E127C5">
        <w:rPr>
          <w:sz w:val="22"/>
        </w:rPr>
        <w:t xml:space="preserve"> milhões de alunos</w:t>
      </w:r>
      <w:r w:rsidR="00C822C9">
        <w:rPr>
          <w:sz w:val="22"/>
        </w:rPr>
        <w:t xml:space="preserve"> tiveram a oportunidade de melhorar o desempenho acadêmico </w:t>
      </w:r>
      <w:r w:rsidRPr="00E127C5">
        <w:rPr>
          <w:sz w:val="22"/>
        </w:rPr>
        <w:t>por meio do acesso à informação.</w:t>
      </w:r>
    </w:p>
    <w:p w14:paraId="2B674959" w14:textId="5EBB3EA2" w:rsidR="000F63FE" w:rsidRPr="00E127C5" w:rsidRDefault="000F63FE" w:rsidP="00AE3EC3">
      <w:pPr>
        <w:spacing w:line="240" w:lineRule="auto"/>
        <w:rPr>
          <w:sz w:val="22"/>
        </w:rPr>
      </w:pPr>
      <w:r w:rsidRPr="00E127C5">
        <w:rPr>
          <w:b/>
          <w:bCs/>
          <w:sz w:val="22"/>
        </w:rPr>
        <w:t>Saúde:</w:t>
      </w:r>
      <w:r w:rsidR="006344E5" w:rsidRPr="00E127C5">
        <w:rPr>
          <w:b/>
          <w:bCs/>
          <w:sz w:val="22"/>
        </w:rPr>
        <w:t xml:space="preserve"> </w:t>
      </w:r>
      <w:r w:rsidR="00C822C9">
        <w:rPr>
          <w:bCs/>
          <w:sz w:val="22"/>
        </w:rPr>
        <w:t>A</w:t>
      </w:r>
      <w:r w:rsidR="00C822C9" w:rsidRPr="00AE3EC3">
        <w:rPr>
          <w:bCs/>
          <w:sz w:val="22"/>
        </w:rPr>
        <w:t xml:space="preserve"> instalação de </w:t>
      </w:r>
      <w:r w:rsidR="00C76FF8">
        <w:rPr>
          <w:bCs/>
          <w:sz w:val="22"/>
        </w:rPr>
        <w:t>785</w:t>
      </w:r>
      <w:r w:rsidRPr="00E127C5">
        <w:rPr>
          <w:sz w:val="22"/>
        </w:rPr>
        <w:t xml:space="preserve"> pontos </w:t>
      </w:r>
      <w:r w:rsidR="005023A1" w:rsidRPr="00E127C5">
        <w:rPr>
          <w:sz w:val="22"/>
        </w:rPr>
        <w:t xml:space="preserve">instalados </w:t>
      </w:r>
      <w:r w:rsidRPr="00E127C5">
        <w:rPr>
          <w:sz w:val="22"/>
        </w:rPr>
        <w:t>em Unidades de Saúde</w:t>
      </w:r>
      <w:r w:rsidR="00C822C9">
        <w:rPr>
          <w:sz w:val="22"/>
        </w:rPr>
        <w:t xml:space="preserve"> possibilitou</w:t>
      </w:r>
      <w:r w:rsidRPr="00E127C5">
        <w:rPr>
          <w:sz w:val="22"/>
        </w:rPr>
        <w:t xml:space="preserve"> a informatização </w:t>
      </w:r>
      <w:r w:rsidR="00C822C9">
        <w:rPr>
          <w:sz w:val="22"/>
        </w:rPr>
        <w:t xml:space="preserve">dos serviços, incluindo a implementação do </w:t>
      </w:r>
      <w:r w:rsidRPr="00E127C5">
        <w:rPr>
          <w:sz w:val="22"/>
        </w:rPr>
        <w:t>Prontuário Eletrônico Nacional Interligado</w:t>
      </w:r>
      <w:r w:rsidR="00C822C9">
        <w:rPr>
          <w:sz w:val="22"/>
        </w:rPr>
        <w:t>, melhorando</w:t>
      </w:r>
      <w:r w:rsidRPr="00E127C5">
        <w:rPr>
          <w:sz w:val="22"/>
        </w:rPr>
        <w:t xml:space="preserve"> a qualidade </w:t>
      </w:r>
      <w:r w:rsidR="00C822C9">
        <w:rPr>
          <w:sz w:val="22"/>
        </w:rPr>
        <w:t>d</w:t>
      </w:r>
      <w:r w:rsidR="00C822C9" w:rsidRPr="00E127C5">
        <w:rPr>
          <w:sz w:val="22"/>
        </w:rPr>
        <w:t xml:space="preserve">o </w:t>
      </w:r>
      <w:r w:rsidRPr="00E127C5">
        <w:rPr>
          <w:sz w:val="22"/>
        </w:rPr>
        <w:t>atendimento e diagnóstico d</w:t>
      </w:r>
      <w:r w:rsidR="00C822C9">
        <w:rPr>
          <w:sz w:val="22"/>
        </w:rPr>
        <w:t>os</w:t>
      </w:r>
      <w:r w:rsidRPr="00E127C5">
        <w:rPr>
          <w:sz w:val="22"/>
        </w:rPr>
        <w:t xml:space="preserve"> pacientes em todo o país.</w:t>
      </w:r>
    </w:p>
    <w:p w14:paraId="7BBEE3C3" w14:textId="7EE656AC" w:rsidR="00C822C9" w:rsidRDefault="000F63FE" w:rsidP="00AE3EC3">
      <w:pPr>
        <w:spacing w:line="240" w:lineRule="auto"/>
        <w:rPr>
          <w:b/>
          <w:bCs/>
          <w:sz w:val="22"/>
        </w:rPr>
      </w:pPr>
      <w:r w:rsidRPr="00E127C5">
        <w:rPr>
          <w:b/>
          <w:bCs/>
          <w:sz w:val="22"/>
        </w:rPr>
        <w:t>Segurança:</w:t>
      </w:r>
      <w:r w:rsidR="009D0C0E" w:rsidRPr="00E127C5">
        <w:rPr>
          <w:sz w:val="22"/>
        </w:rPr>
        <w:t xml:space="preserve"> </w:t>
      </w:r>
      <w:r w:rsidR="00C822C9">
        <w:rPr>
          <w:sz w:val="22"/>
        </w:rPr>
        <w:t>A</w:t>
      </w:r>
      <w:r w:rsidR="00C822C9" w:rsidRPr="00E127C5">
        <w:rPr>
          <w:sz w:val="22"/>
        </w:rPr>
        <w:t xml:space="preserve"> instala</w:t>
      </w:r>
      <w:r w:rsidR="00C822C9">
        <w:rPr>
          <w:sz w:val="22"/>
        </w:rPr>
        <w:t>ção de</w:t>
      </w:r>
      <w:r w:rsidR="00C822C9" w:rsidRPr="00E127C5">
        <w:rPr>
          <w:sz w:val="22"/>
        </w:rPr>
        <w:t xml:space="preserve"> </w:t>
      </w:r>
      <w:r w:rsidR="00C76FF8">
        <w:rPr>
          <w:sz w:val="22"/>
        </w:rPr>
        <w:t>620</w:t>
      </w:r>
      <w:r w:rsidRPr="00E127C5">
        <w:rPr>
          <w:sz w:val="22"/>
        </w:rPr>
        <w:t xml:space="preserve"> pon</w:t>
      </w:r>
      <w:r w:rsidR="006344E5" w:rsidRPr="00E127C5">
        <w:rPr>
          <w:sz w:val="22"/>
        </w:rPr>
        <w:t xml:space="preserve">tos </w:t>
      </w:r>
      <w:r w:rsidR="00C822C9">
        <w:rPr>
          <w:sz w:val="22"/>
        </w:rPr>
        <w:t xml:space="preserve">dedicados à </w:t>
      </w:r>
      <w:r w:rsidR="006344E5" w:rsidRPr="00E127C5">
        <w:rPr>
          <w:sz w:val="22"/>
        </w:rPr>
        <w:t xml:space="preserve">Segurança Pública e </w:t>
      </w:r>
      <w:r w:rsidR="00C76FF8">
        <w:rPr>
          <w:sz w:val="22"/>
        </w:rPr>
        <w:t>159</w:t>
      </w:r>
      <w:r w:rsidRPr="00E127C5">
        <w:rPr>
          <w:sz w:val="22"/>
        </w:rPr>
        <w:t xml:space="preserve"> em Postos de Fronteira</w:t>
      </w:r>
      <w:r w:rsidR="00C822C9">
        <w:rPr>
          <w:sz w:val="22"/>
        </w:rPr>
        <w:t xml:space="preserve"> tem sido crucial no combate ao crime, reforçando a segurança nas áreas mais sensíveis.</w:t>
      </w:r>
    </w:p>
    <w:p w14:paraId="477C64F5" w14:textId="7330603A" w:rsidR="00AC5594" w:rsidRDefault="000F63FE">
      <w:pPr>
        <w:spacing w:line="240" w:lineRule="auto"/>
        <w:rPr>
          <w:sz w:val="22"/>
        </w:rPr>
      </w:pPr>
      <w:r w:rsidRPr="00E127C5">
        <w:rPr>
          <w:b/>
          <w:bCs/>
          <w:sz w:val="22"/>
        </w:rPr>
        <w:t>Economia:</w:t>
      </w:r>
      <w:r w:rsidRPr="00E127C5">
        <w:rPr>
          <w:sz w:val="22"/>
        </w:rPr>
        <w:t xml:space="preserve"> O acesso à internet</w:t>
      </w:r>
      <w:r w:rsidR="00C822C9">
        <w:rPr>
          <w:sz w:val="22"/>
        </w:rPr>
        <w:t xml:space="preserve"> tem fomentado a geração de renda em locais remotos</w:t>
      </w:r>
      <w:r w:rsidRPr="00E127C5">
        <w:rPr>
          <w:sz w:val="22"/>
        </w:rPr>
        <w:t>,</w:t>
      </w:r>
      <w:r w:rsidR="00C822C9">
        <w:rPr>
          <w:sz w:val="22"/>
        </w:rPr>
        <w:t xml:space="preserve"> beneficiando a população dessas regiões.</w:t>
      </w:r>
    </w:p>
    <w:p w14:paraId="7B8900AC" w14:textId="2359EDCB" w:rsidR="00AC5594" w:rsidRDefault="00AC5594" w:rsidP="00AE3EC3">
      <w:pPr>
        <w:spacing w:before="120" w:line="240" w:lineRule="auto"/>
        <w:rPr>
          <w:sz w:val="22"/>
        </w:rPr>
      </w:pPr>
      <w:r w:rsidRPr="00AC5594">
        <w:rPr>
          <w:sz w:val="22"/>
        </w:rPr>
        <w:t xml:space="preserve">Esses números demonstram que a </w:t>
      </w:r>
      <w:r w:rsidR="00AD1802">
        <w:rPr>
          <w:sz w:val="22"/>
        </w:rPr>
        <w:t>Telebras</w:t>
      </w:r>
      <w:r w:rsidRPr="00AC5594">
        <w:rPr>
          <w:sz w:val="22"/>
        </w:rPr>
        <w:t xml:space="preserve"> continua trabalhando arduamente para garantir que a inclusão digital se torne uma realidade, independentemente de sua localização geográfica</w:t>
      </w:r>
      <w:r w:rsidR="00AD1802">
        <w:rPr>
          <w:sz w:val="22"/>
        </w:rPr>
        <w:t xml:space="preserve"> e</w:t>
      </w:r>
      <w:r w:rsidRPr="00AC5594">
        <w:rPr>
          <w:sz w:val="22"/>
        </w:rPr>
        <w:t xml:space="preserve"> permanece dedicada a atuar na política pública de telecomunicações no Brasil e a contribuir para um país mais conectado e inclusivo.</w:t>
      </w:r>
    </w:p>
    <w:p w14:paraId="4C04499B" w14:textId="009230DE" w:rsidR="00B048E0" w:rsidRDefault="00B048E0" w:rsidP="00AE3EC3">
      <w:pPr>
        <w:spacing w:before="120" w:line="240" w:lineRule="auto"/>
        <w:rPr>
          <w:sz w:val="22"/>
        </w:rPr>
      </w:pPr>
      <w:r w:rsidRPr="00B048E0">
        <w:rPr>
          <w:sz w:val="22"/>
        </w:rPr>
        <w:t xml:space="preserve">Embora a Telebras opere sob um conjunto de diretrizes voltadas para políticas públicas, distintas das condições de mercado enfrentadas por empresas privadas no setor de telecomunicações, é importante salientar que mantemos equivalência em aspectos cruciais como preços dos serviços, níveis de Acordos de Nível de Serviço (SLA), condições contratuais, adoção de tecnologias e na qualidade do atendimento ao cliente. Essa equivalência é estratégica, permitindo que a Telebras promova a inclusão digital e o acesso equitativo aos serviços de telecomunicações em todo o território nacional, alinhando-se assim aos objetivos nacionais de desenvolvimento socioeconômico, sem </w:t>
      </w:r>
      <w:proofErr w:type="gramStart"/>
      <w:r w:rsidRPr="00B048E0">
        <w:rPr>
          <w:sz w:val="22"/>
        </w:rPr>
        <w:t>abrir mão da</w:t>
      </w:r>
      <w:proofErr w:type="gramEnd"/>
      <w:r w:rsidRPr="00B048E0">
        <w:rPr>
          <w:sz w:val="22"/>
        </w:rPr>
        <w:t xml:space="preserve"> competitividade e das melhores práticas de mercado. Desta forma, mesmo operando em um contexto diferenciado, a Telebras reafirma seu compromisso com a promoção de uma sociedade mais conectada e inclusiva, garantindo condições de serviço comparáveis às melhores disponíveis no setor privado.</w:t>
      </w:r>
    </w:p>
    <w:p w14:paraId="2740A0A7" w14:textId="77777777" w:rsidR="00B048E0" w:rsidRDefault="00B048E0" w:rsidP="00AE3EC3">
      <w:pPr>
        <w:spacing w:before="120" w:line="240" w:lineRule="auto"/>
        <w:rPr>
          <w:sz w:val="22"/>
        </w:rPr>
      </w:pPr>
    </w:p>
    <w:p w14:paraId="0FC0436B" w14:textId="57775181" w:rsidR="000F63FE" w:rsidRDefault="000F63FE" w:rsidP="00AC5594">
      <w:pPr>
        <w:spacing w:line="240" w:lineRule="auto"/>
        <w:ind w:left="851"/>
        <w:rPr>
          <w:sz w:val="22"/>
        </w:rPr>
      </w:pPr>
    </w:p>
    <w:p w14:paraId="1AAF786D" w14:textId="7F9E9A8F" w:rsidR="00345BE3" w:rsidRPr="00337BFF" w:rsidRDefault="00345BE3" w:rsidP="00260DEB">
      <w:pPr>
        <w:spacing w:line="240" w:lineRule="auto"/>
        <w:ind w:left="851"/>
        <w:rPr>
          <w:sz w:val="22"/>
          <w:highlight w:val="yellow"/>
        </w:rPr>
      </w:pPr>
    </w:p>
    <w:p w14:paraId="029C676C" w14:textId="314F2CC4" w:rsidR="00345BE3" w:rsidRPr="00C76FF8" w:rsidRDefault="00345BE3" w:rsidP="00E564AA">
      <w:pPr>
        <w:pStyle w:val="Ttulo1"/>
        <w:spacing w:after="240"/>
        <w:ind w:left="426" w:hanging="426"/>
      </w:pPr>
      <w:bookmarkStart w:id="34" w:name="_Toc161319448"/>
      <w:r w:rsidRPr="00C76FF8">
        <w:lastRenderedPageBreak/>
        <w:t>Governança Corporativa, Relações com Investidores e Mercado</w:t>
      </w:r>
      <w:bookmarkEnd w:id="34"/>
    </w:p>
    <w:p w14:paraId="6729B378" w14:textId="6A595221" w:rsidR="006631AA" w:rsidRPr="00C76FF8" w:rsidRDefault="006631AA" w:rsidP="00C14312">
      <w:pPr>
        <w:spacing w:line="240" w:lineRule="auto"/>
        <w:rPr>
          <w:rFonts w:eastAsia="Calibri"/>
          <w:sz w:val="22"/>
        </w:rPr>
      </w:pPr>
      <w:r w:rsidRPr="00C76FF8">
        <w:rPr>
          <w:rFonts w:eastAsia="Calibri"/>
          <w:sz w:val="22"/>
        </w:rPr>
        <w:t>A Telebras trabalha em proposta de aprimoramento do modelo atual a partir dos referenciais de governança que orientam o setor, com destaque para os normativos e orientações emitidos pelos seguintes órgãos e instituições: Controladoria-Geral da União – CGU, Tribunal de Contas da União – TCU, Comissão Interministerial de Governança Corporativa e de Administração de Participações Societárias da União – CGPAR, Comissão de Valores Mobiliários – CVM, Instituto Brasileiro de Governança Corporativa – IBGC, entre outros.</w:t>
      </w:r>
    </w:p>
    <w:p w14:paraId="59F7844E" w14:textId="005FB452" w:rsidR="008A5027" w:rsidRPr="00AE3EC3" w:rsidRDefault="008A5027" w:rsidP="008A5027">
      <w:pPr>
        <w:spacing w:before="120" w:line="240" w:lineRule="auto"/>
        <w:rPr>
          <w:rFonts w:eastAsia="Calibri"/>
          <w:sz w:val="22"/>
        </w:rPr>
      </w:pPr>
      <w:r w:rsidRPr="00AE3EC3">
        <w:rPr>
          <w:rFonts w:eastAsia="Calibri"/>
          <w:sz w:val="22"/>
        </w:rPr>
        <w:t>Foram concluídas as avaliações de desempenho de administradores e membros de conselhos e comitês referentes ao ano de 2022, conforme previsão na Lei nº 13.303/2016, no Decreto 8.945/2016 e no Estatuto Social da Companhia. O objetivo geral do processo é avaliar a efetividade dos órgãos estatutários na gestão da Companhia no que diz respeito às funções e responsabilidades aceitas como suas e pré-definidas nos instrumentos legais, estatuto e regimentos internos.</w:t>
      </w:r>
    </w:p>
    <w:p w14:paraId="079B9003" w14:textId="53A65EFC" w:rsidR="008A5027" w:rsidRPr="00AE3EC3" w:rsidRDefault="008A5027" w:rsidP="008A5027">
      <w:pPr>
        <w:spacing w:before="120" w:line="240" w:lineRule="auto"/>
        <w:rPr>
          <w:rFonts w:eastAsia="Calibri"/>
          <w:sz w:val="22"/>
        </w:rPr>
      </w:pPr>
      <w:r w:rsidRPr="00AE3EC3">
        <w:rPr>
          <w:rFonts w:eastAsia="Calibri"/>
          <w:sz w:val="22"/>
        </w:rPr>
        <w:t>O processo avaliativo ocorreu em duas etapas, sendo que o primeiro grupo, composto pelo Conselho Fiscal, Comitê de Auditoria e Comitê de Pessoas, Elegibilidade, Sucessão e Remuneração, foi avaliado em dezembro de 2022, e o segundo grupo, composto pelo Conselho de Administração e pela Diretoria Executiva, foi avaliado em setembro de 2023. A metodologia de avaliação consistiu na aplicação, via formulário eletrônico, dos questionários padronizados disponibilizados pela SEST</w:t>
      </w:r>
      <w:r w:rsidR="009E50FF">
        <w:rPr>
          <w:rFonts w:eastAsia="Calibri"/>
          <w:sz w:val="22"/>
        </w:rPr>
        <w:t xml:space="preserve"> – S</w:t>
      </w:r>
      <w:r w:rsidR="009E50FF" w:rsidRPr="009E50FF">
        <w:rPr>
          <w:rFonts w:eastAsia="Calibri"/>
          <w:sz w:val="22"/>
        </w:rPr>
        <w:t>ecretaria de Coordenação e Governança das Empresas Estatais</w:t>
      </w:r>
      <w:r w:rsidR="009E50FF">
        <w:rPr>
          <w:rFonts w:eastAsia="Calibri"/>
          <w:sz w:val="22"/>
        </w:rPr>
        <w:t xml:space="preserve"> –</w:t>
      </w:r>
      <w:r w:rsidRPr="00AE3EC3">
        <w:rPr>
          <w:rFonts w:eastAsia="Calibri"/>
          <w:sz w:val="22"/>
        </w:rPr>
        <w:t xml:space="preserve"> em sua Central de Conteúdos. </w:t>
      </w:r>
    </w:p>
    <w:p w14:paraId="75F0773D" w14:textId="35BE8636" w:rsidR="008A5027" w:rsidRPr="00AE3EC3" w:rsidRDefault="008A5027" w:rsidP="008A5027">
      <w:pPr>
        <w:spacing w:before="120" w:line="240" w:lineRule="auto"/>
        <w:rPr>
          <w:rFonts w:eastAsia="Calibri"/>
          <w:sz w:val="22"/>
        </w:rPr>
      </w:pPr>
      <w:r w:rsidRPr="00AE3EC3">
        <w:rPr>
          <w:rFonts w:eastAsia="Calibri"/>
          <w:sz w:val="22"/>
        </w:rPr>
        <w:t xml:space="preserve">No mês de dezembro, foram apresentados à Diretoria Executiva e ao Conselho de Administração (501ª ROCA) os resultados consolidados das avaliações. Em seguimento, a </w:t>
      </w:r>
      <w:r w:rsidR="00BC2D37">
        <w:rPr>
          <w:rFonts w:eastAsia="Calibri"/>
          <w:sz w:val="22"/>
        </w:rPr>
        <w:t>Telebras</w:t>
      </w:r>
      <w:r w:rsidRPr="00AE3EC3">
        <w:rPr>
          <w:rFonts w:eastAsia="Calibri"/>
          <w:sz w:val="22"/>
        </w:rPr>
        <w:t xml:space="preserve"> está trabalhando na comunicação dos resultados às partes interessadas, incluindo as informações necessárias à verificação de conformidade que será realizada pelo Comitê de Pessoas, Elegibilidade, Sucessão e Remuneração</w:t>
      </w:r>
    </w:p>
    <w:p w14:paraId="07ED29DE" w14:textId="77777777" w:rsidR="008A5027" w:rsidRPr="00C76FF8" w:rsidRDefault="008A5027" w:rsidP="00C14312">
      <w:pPr>
        <w:spacing w:before="120" w:line="240" w:lineRule="auto"/>
        <w:rPr>
          <w:sz w:val="22"/>
          <w:highlight w:val="red"/>
        </w:rPr>
      </w:pPr>
    </w:p>
    <w:p w14:paraId="7A752478" w14:textId="32B17971" w:rsidR="007301AD" w:rsidRPr="00C76FF8" w:rsidRDefault="00264592" w:rsidP="007301AD">
      <w:pPr>
        <w:pStyle w:val="Ttulo2"/>
        <w:tabs>
          <w:tab w:val="left" w:pos="1843"/>
        </w:tabs>
        <w:spacing w:before="240" w:after="240" w:line="276" w:lineRule="auto"/>
        <w:ind w:left="567" w:hanging="567"/>
      </w:pPr>
      <w:bookmarkStart w:id="35" w:name="_Toc62463830"/>
      <w:bookmarkStart w:id="36" w:name="_Toc62463897"/>
      <w:bookmarkStart w:id="37" w:name="_Toc62466019"/>
      <w:bookmarkStart w:id="38" w:name="_Toc62466277"/>
      <w:bookmarkStart w:id="39" w:name="_Toc62549324"/>
      <w:bookmarkStart w:id="40" w:name="_Toc62549493"/>
      <w:bookmarkStart w:id="41" w:name="_Toc62551342"/>
      <w:bookmarkStart w:id="42" w:name="_Toc62656186"/>
      <w:bookmarkStart w:id="43" w:name="_Toc62718832"/>
      <w:bookmarkStart w:id="44" w:name="_Toc62718885"/>
      <w:bookmarkStart w:id="45" w:name="_Toc62718987"/>
      <w:bookmarkStart w:id="46" w:name="_Toc62719042"/>
      <w:bookmarkStart w:id="47" w:name="_Toc62719156"/>
      <w:bookmarkStart w:id="48" w:name="_Toc62720466"/>
      <w:bookmarkStart w:id="49" w:name="_Toc62812408"/>
      <w:bookmarkStart w:id="50" w:name="_Toc62828145"/>
      <w:bookmarkStart w:id="51" w:name="_Toc63089460"/>
      <w:bookmarkStart w:id="52" w:name="_Toc63089510"/>
      <w:bookmarkStart w:id="53" w:name="_Toc62463831"/>
      <w:bookmarkStart w:id="54" w:name="_Toc62463898"/>
      <w:bookmarkStart w:id="55" w:name="_Toc62466020"/>
      <w:bookmarkStart w:id="56" w:name="_Toc62466278"/>
      <w:bookmarkStart w:id="57" w:name="_Toc62549325"/>
      <w:bookmarkStart w:id="58" w:name="_Toc62549494"/>
      <w:bookmarkStart w:id="59" w:name="_Toc62551343"/>
      <w:bookmarkStart w:id="60" w:name="_Toc62656187"/>
      <w:bookmarkStart w:id="61" w:name="_Toc62718833"/>
      <w:bookmarkStart w:id="62" w:name="_Toc62718886"/>
      <w:bookmarkStart w:id="63" w:name="_Toc62718988"/>
      <w:bookmarkStart w:id="64" w:name="_Toc62719043"/>
      <w:bookmarkStart w:id="65" w:name="_Toc62719157"/>
      <w:bookmarkStart w:id="66" w:name="_Toc62720467"/>
      <w:bookmarkStart w:id="67" w:name="_Toc62812409"/>
      <w:bookmarkStart w:id="68" w:name="_Toc62828146"/>
      <w:bookmarkStart w:id="69" w:name="_Toc63089461"/>
      <w:bookmarkStart w:id="70" w:name="_Toc63089511"/>
      <w:bookmarkStart w:id="71" w:name="_Toc62463832"/>
      <w:bookmarkStart w:id="72" w:name="_Toc62463899"/>
      <w:bookmarkStart w:id="73" w:name="_Toc62466021"/>
      <w:bookmarkStart w:id="74" w:name="_Toc62466279"/>
      <w:bookmarkStart w:id="75" w:name="_Toc62549326"/>
      <w:bookmarkStart w:id="76" w:name="_Toc62549495"/>
      <w:bookmarkStart w:id="77" w:name="_Toc62551344"/>
      <w:bookmarkStart w:id="78" w:name="_Toc62656188"/>
      <w:bookmarkStart w:id="79" w:name="_Toc62718834"/>
      <w:bookmarkStart w:id="80" w:name="_Toc62718887"/>
      <w:bookmarkStart w:id="81" w:name="_Toc62718989"/>
      <w:bookmarkStart w:id="82" w:name="_Toc62719044"/>
      <w:bookmarkStart w:id="83" w:name="_Toc62719158"/>
      <w:bookmarkStart w:id="84" w:name="_Toc62720468"/>
      <w:bookmarkStart w:id="85" w:name="_Toc62812410"/>
      <w:bookmarkStart w:id="86" w:name="_Toc62828147"/>
      <w:bookmarkStart w:id="87" w:name="_Toc63089462"/>
      <w:bookmarkStart w:id="88" w:name="_Toc63089512"/>
      <w:bookmarkStart w:id="89" w:name="_Toc161319449"/>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r w:rsidRPr="00C76FF8">
        <w:t>Integridade, Riscos e Conformidade</w:t>
      </w:r>
      <w:bookmarkEnd w:id="89"/>
    </w:p>
    <w:p w14:paraId="5273B021" w14:textId="3382F82D" w:rsidR="008074CE" w:rsidRDefault="00B91000" w:rsidP="00253E3B">
      <w:pPr>
        <w:spacing w:before="120" w:line="240" w:lineRule="auto"/>
        <w:rPr>
          <w:rFonts w:eastAsia="Calibri"/>
          <w:sz w:val="22"/>
        </w:rPr>
      </w:pPr>
      <w:r w:rsidRPr="00B91000">
        <w:rPr>
          <w:rFonts w:eastAsia="Calibri"/>
          <w:sz w:val="22"/>
        </w:rPr>
        <w:t>Em setembro de 2023, a Telebras renovou seu compromisso com ética e transparência ao lançar a nova versão do Programa de Integridade, alinhado aos melhores padrões e normativas do setor públic</w:t>
      </w:r>
      <w:r>
        <w:rPr>
          <w:rFonts w:eastAsia="Calibri"/>
          <w:sz w:val="22"/>
        </w:rPr>
        <w:t xml:space="preserve">o, incluindo diretrizes da CGU, </w:t>
      </w:r>
      <w:r w:rsidR="007301AD" w:rsidRPr="00253E3B">
        <w:rPr>
          <w:rFonts w:eastAsia="Calibri"/>
          <w:sz w:val="22"/>
        </w:rPr>
        <w:t>em especial o Guia de Implantação de Programa de Integridade nas Empresas Estatais</w:t>
      </w:r>
      <w:r w:rsidR="008074CE">
        <w:rPr>
          <w:rFonts w:eastAsia="Calibri"/>
          <w:sz w:val="22"/>
        </w:rPr>
        <w:t>.</w:t>
      </w:r>
    </w:p>
    <w:p w14:paraId="690A17DE" w14:textId="77777777" w:rsidR="00977FBB" w:rsidRDefault="00E6620C" w:rsidP="00253E3B">
      <w:pPr>
        <w:spacing w:before="120" w:line="240" w:lineRule="auto"/>
        <w:rPr>
          <w:rFonts w:eastAsia="Calibri"/>
          <w:sz w:val="22"/>
        </w:rPr>
      </w:pPr>
      <w:r w:rsidRPr="00E6620C">
        <w:rPr>
          <w:rFonts w:eastAsia="Calibri"/>
          <w:sz w:val="22"/>
        </w:rPr>
        <w:t xml:space="preserve">O </w:t>
      </w:r>
      <w:r>
        <w:rPr>
          <w:rFonts w:eastAsia="Calibri"/>
          <w:sz w:val="22"/>
        </w:rPr>
        <w:t>Programa</w:t>
      </w:r>
      <w:r w:rsidRPr="00E6620C">
        <w:rPr>
          <w:rFonts w:eastAsia="Calibri"/>
          <w:sz w:val="22"/>
        </w:rPr>
        <w:t xml:space="preserve"> de Integridade "Integra+", versão 3.0, para o biênio 2023-2024, reforça a cultura de integridade da empresa, visando prevenir e mitigar fraudes e atos de corrupção. Em 2023, das 13 iniciativas propostas</w:t>
      </w:r>
      <w:r w:rsidR="00977FBB">
        <w:rPr>
          <w:rFonts w:eastAsia="Calibri"/>
          <w:sz w:val="22"/>
        </w:rPr>
        <w:t xml:space="preserve"> aprovadas</w:t>
      </w:r>
      <w:r w:rsidRPr="00E6620C">
        <w:rPr>
          <w:rFonts w:eastAsia="Calibri"/>
          <w:sz w:val="22"/>
        </w:rPr>
        <w:t>, 77% já foram iniciadas, incluindo diagnósticos de integridade e capacitações para a Alta Administração.</w:t>
      </w:r>
    </w:p>
    <w:p w14:paraId="164876A9" w14:textId="77777777" w:rsidR="00977FBB" w:rsidRDefault="00977FBB" w:rsidP="00253E3B">
      <w:pPr>
        <w:spacing w:before="120" w:line="240" w:lineRule="auto"/>
        <w:rPr>
          <w:rFonts w:eastAsia="Calibri"/>
          <w:sz w:val="22"/>
        </w:rPr>
      </w:pPr>
    </w:p>
    <w:p w14:paraId="35B4AC09" w14:textId="4226F1DE" w:rsidR="00E6620C" w:rsidRDefault="00977FBB" w:rsidP="00AE3EC3">
      <w:pPr>
        <w:spacing w:before="120" w:line="240" w:lineRule="auto"/>
        <w:jc w:val="center"/>
        <w:rPr>
          <w:rFonts w:eastAsia="Calibri"/>
          <w:sz w:val="22"/>
        </w:rPr>
      </w:pPr>
      <w:r w:rsidRPr="00253E3B">
        <w:rPr>
          <w:rFonts w:eastAsia="Calibri"/>
          <w:noProof/>
          <w:sz w:val="22"/>
          <w:lang w:eastAsia="pt-BR"/>
        </w:rPr>
        <w:drawing>
          <wp:inline distT="0" distB="0" distL="0" distR="0" wp14:anchorId="59DA0EFC" wp14:editId="1D7DBBEE">
            <wp:extent cx="2924175" cy="1701800"/>
            <wp:effectExtent l="0" t="0" r="9525" b="0"/>
            <wp:docPr id="8" name="Imagem 8" descr="https://www.telebras.com.br/wp-content/uploads/2019/10/imagem-3_Prancheta-1-1-1024x5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telebras.com.br/wp-content/uploads/2019/10/imagem-3_Prancheta-1-1-1024x59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924175" cy="1701800"/>
                    </a:xfrm>
                    <a:prstGeom prst="rect">
                      <a:avLst/>
                    </a:prstGeom>
                    <a:noFill/>
                    <a:ln>
                      <a:noFill/>
                    </a:ln>
                  </pic:spPr>
                </pic:pic>
              </a:graphicData>
            </a:graphic>
          </wp:inline>
        </w:drawing>
      </w:r>
    </w:p>
    <w:p w14:paraId="6B19A9FD" w14:textId="77777777" w:rsidR="00977FBB" w:rsidRDefault="00977FBB" w:rsidP="00AE3EC3">
      <w:pPr>
        <w:spacing w:before="120" w:line="240" w:lineRule="auto"/>
        <w:jc w:val="center"/>
        <w:rPr>
          <w:rFonts w:eastAsia="Calibri"/>
          <w:sz w:val="22"/>
        </w:rPr>
      </w:pPr>
    </w:p>
    <w:p w14:paraId="3CB8B8B6" w14:textId="5F779D6C" w:rsidR="008074CE" w:rsidRDefault="00253E3B" w:rsidP="00253E3B">
      <w:pPr>
        <w:spacing w:before="120" w:line="240" w:lineRule="auto"/>
        <w:rPr>
          <w:rFonts w:eastAsia="Calibri"/>
          <w:sz w:val="22"/>
        </w:rPr>
      </w:pPr>
      <w:r w:rsidRPr="00253E3B">
        <w:rPr>
          <w:rFonts w:eastAsia="Calibri"/>
          <w:sz w:val="22"/>
        </w:rPr>
        <w:t xml:space="preserve">O </w:t>
      </w:r>
      <w:r w:rsidR="00977FBB" w:rsidRPr="00E6620C">
        <w:rPr>
          <w:rFonts w:eastAsia="Calibri"/>
          <w:sz w:val="22"/>
        </w:rPr>
        <w:t>Integra+</w:t>
      </w:r>
      <w:r w:rsidR="00977FBB">
        <w:rPr>
          <w:rFonts w:eastAsia="Calibri"/>
          <w:sz w:val="22"/>
        </w:rPr>
        <w:t xml:space="preserve"> </w:t>
      </w:r>
      <w:r w:rsidRPr="00253E3B">
        <w:rPr>
          <w:rFonts w:eastAsia="Calibri"/>
          <w:sz w:val="22"/>
        </w:rPr>
        <w:t>está estruturado em cinco pilares:</w:t>
      </w:r>
      <w:r w:rsidR="008074CE" w:rsidRPr="008074CE">
        <w:rPr>
          <w:rFonts w:eastAsia="Calibri"/>
          <w:sz w:val="22"/>
        </w:rPr>
        <w:t xml:space="preserve"> </w:t>
      </w:r>
    </w:p>
    <w:p w14:paraId="7A46936D" w14:textId="77777777" w:rsidR="00E01DEC" w:rsidRDefault="00E01DEC" w:rsidP="00253E3B">
      <w:pPr>
        <w:spacing w:before="120" w:line="240" w:lineRule="auto"/>
        <w:rPr>
          <w:rFonts w:eastAsia="Calibri"/>
          <w:sz w:val="22"/>
        </w:rPr>
      </w:pPr>
    </w:p>
    <w:p w14:paraId="6A67365E" w14:textId="0ADF2CD4" w:rsidR="00253E3B" w:rsidRDefault="00253E3B" w:rsidP="008074CE">
      <w:pPr>
        <w:spacing w:before="120" w:line="240" w:lineRule="auto"/>
        <w:jc w:val="center"/>
        <w:rPr>
          <w:rFonts w:eastAsia="Calibri"/>
          <w:sz w:val="22"/>
        </w:rPr>
      </w:pPr>
    </w:p>
    <w:p w14:paraId="395C9538" w14:textId="58D0EAE6" w:rsidR="00253E3B" w:rsidRDefault="008074CE" w:rsidP="00253E3B">
      <w:pPr>
        <w:spacing w:before="120" w:line="240" w:lineRule="auto"/>
        <w:rPr>
          <w:rFonts w:eastAsia="Calibri"/>
          <w:sz w:val="22"/>
        </w:rPr>
      </w:pPr>
      <w:r>
        <w:rPr>
          <w:rFonts w:eastAsia="Calibri"/>
          <w:noProof/>
          <w:sz w:val="22"/>
          <w:lang w:eastAsia="pt-BR"/>
        </w:rPr>
        <w:drawing>
          <wp:inline distT="0" distB="0" distL="0" distR="0" wp14:anchorId="22B2D7C7" wp14:editId="50BAD5D5">
            <wp:extent cx="5760720" cy="2342515"/>
            <wp:effectExtent l="0" t="0" r="0" b="63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lares-Integridade.jpg"/>
                    <pic:cNvPicPr/>
                  </pic:nvPicPr>
                  <pic:blipFill>
                    <a:blip r:embed="rId21">
                      <a:extLst>
                        <a:ext uri="{28A0092B-C50C-407E-A947-70E740481C1C}">
                          <a14:useLocalDpi xmlns:a14="http://schemas.microsoft.com/office/drawing/2010/main" val="0"/>
                        </a:ext>
                      </a:extLst>
                    </a:blip>
                    <a:stretch>
                      <a:fillRect/>
                    </a:stretch>
                  </pic:blipFill>
                  <pic:spPr>
                    <a:xfrm>
                      <a:off x="0" y="0"/>
                      <a:ext cx="5760720" cy="2342515"/>
                    </a:xfrm>
                    <a:prstGeom prst="rect">
                      <a:avLst/>
                    </a:prstGeom>
                  </pic:spPr>
                </pic:pic>
              </a:graphicData>
            </a:graphic>
          </wp:inline>
        </w:drawing>
      </w:r>
    </w:p>
    <w:p w14:paraId="61D0629A" w14:textId="3EBB1F61" w:rsidR="000D2CFA" w:rsidRDefault="000D2CFA" w:rsidP="000D2CFA">
      <w:pPr>
        <w:pStyle w:val="Legenda"/>
      </w:pPr>
      <w:bookmarkStart w:id="90" w:name="_Toc159258265"/>
      <w:r w:rsidRPr="00190B9D">
        <w:t xml:space="preserve">Figura </w:t>
      </w:r>
      <w:r w:rsidR="006F713F">
        <w:fldChar w:fldCharType="begin"/>
      </w:r>
      <w:r w:rsidR="006F713F">
        <w:instrText xml:space="preserve"> STYLEREF 1 \s </w:instrText>
      </w:r>
      <w:r w:rsidR="006F713F">
        <w:fldChar w:fldCharType="separate"/>
      </w:r>
      <w:r w:rsidR="009B5930">
        <w:rPr>
          <w:noProof/>
        </w:rPr>
        <w:t>5</w:t>
      </w:r>
      <w:r w:rsidR="006F713F">
        <w:rPr>
          <w:noProof/>
        </w:rPr>
        <w:fldChar w:fldCharType="end"/>
      </w:r>
      <w:r w:rsidRPr="00190B9D">
        <w:noBreakHyphen/>
      </w:r>
      <w:r w:rsidR="006F713F">
        <w:fldChar w:fldCharType="begin"/>
      </w:r>
      <w:r w:rsidR="006F713F">
        <w:instrText xml:space="preserve"> SEQ Figura \* ARABIC \s 1 </w:instrText>
      </w:r>
      <w:r w:rsidR="006F713F">
        <w:fldChar w:fldCharType="separate"/>
      </w:r>
      <w:r w:rsidR="009B5930">
        <w:rPr>
          <w:noProof/>
        </w:rPr>
        <w:t>1</w:t>
      </w:r>
      <w:r w:rsidR="006F713F">
        <w:rPr>
          <w:noProof/>
        </w:rPr>
        <w:fldChar w:fldCharType="end"/>
      </w:r>
      <w:r w:rsidRPr="00190B9D">
        <w:t xml:space="preserve"> Pilares do Programa de Integridade</w:t>
      </w:r>
      <w:bookmarkEnd w:id="90"/>
    </w:p>
    <w:p w14:paraId="46372FD2" w14:textId="77777777" w:rsidR="00D52080" w:rsidRPr="00E13D6B" w:rsidRDefault="00D52080" w:rsidP="00AE3EC3"/>
    <w:p w14:paraId="5D22CD80" w14:textId="77777777" w:rsidR="00D52080" w:rsidRDefault="00D52080" w:rsidP="00253E3B">
      <w:pPr>
        <w:spacing w:before="120" w:line="240" w:lineRule="auto"/>
        <w:rPr>
          <w:rFonts w:eastAsia="Calibri"/>
          <w:sz w:val="22"/>
        </w:rPr>
      </w:pPr>
      <w:r w:rsidRPr="00D52080">
        <w:rPr>
          <w:rFonts w:eastAsia="Calibri"/>
          <w:sz w:val="22"/>
        </w:rPr>
        <w:t xml:space="preserve">A gestão de riscos segue a Instrução Normativa Conjunta MP/CGU Nº 01/2016, com uma Política de Gestão de Riscos estabelecendo princípios e diretrizes para a identificação e controle de riscos estratégicos e operacionais. </w:t>
      </w:r>
    </w:p>
    <w:p w14:paraId="3A6B3389" w14:textId="4FB05738" w:rsidR="00710E03" w:rsidRDefault="00710E03" w:rsidP="00253E3B">
      <w:pPr>
        <w:spacing w:before="120" w:line="240" w:lineRule="auto"/>
        <w:rPr>
          <w:rFonts w:eastAsia="Calibri"/>
          <w:sz w:val="22"/>
        </w:rPr>
      </w:pPr>
      <w:r w:rsidRPr="00710E03">
        <w:rPr>
          <w:rFonts w:eastAsia="Calibri"/>
          <w:sz w:val="22"/>
        </w:rPr>
        <w:t xml:space="preserve">Em dezembro de 2022, o Conselho de Administração estabeleceu os principais riscos estratégicos da Companhia, abrangendo áreas como conhecimentos sobre tecnologias específicas, utilização da infraestrutura de telecomunicações, custos dos serviços prestados, aumento da concorrência no mercado e a pauta ESG, entre outros aspectos relevantes. Reconhecendo a importância de manter uma visão atualizada dos riscos e de identificar potenciais </w:t>
      </w:r>
      <w:r>
        <w:rPr>
          <w:rFonts w:eastAsia="Calibri"/>
          <w:sz w:val="22"/>
        </w:rPr>
        <w:t>novos</w:t>
      </w:r>
      <w:r w:rsidRPr="00710E03">
        <w:rPr>
          <w:rFonts w:eastAsia="Calibri"/>
          <w:sz w:val="22"/>
        </w:rPr>
        <w:t xml:space="preserve"> ameaças emergentes, foi identificada a necessidade de revisão e análise contínua desses riscos. Nesse contexto, está prevista uma análise abrangente para identificar e avaliar novos riscos no primeiro trimestre de 2024.</w:t>
      </w:r>
      <w:r w:rsidRPr="00710E03" w:rsidDel="00710E03">
        <w:rPr>
          <w:rFonts w:eastAsia="Calibri"/>
          <w:sz w:val="22"/>
        </w:rPr>
        <w:t xml:space="preserve"> </w:t>
      </w:r>
    </w:p>
    <w:p w14:paraId="522A96CB" w14:textId="6D898BA9" w:rsidR="007301AD" w:rsidRPr="00253E3B" w:rsidRDefault="005F50FA" w:rsidP="00253E3B">
      <w:pPr>
        <w:spacing w:before="120" w:line="240" w:lineRule="auto"/>
        <w:rPr>
          <w:rFonts w:eastAsia="Calibri"/>
          <w:sz w:val="22"/>
        </w:rPr>
      </w:pPr>
      <w:r>
        <w:rPr>
          <w:rFonts w:eastAsia="Calibri"/>
          <w:sz w:val="22"/>
        </w:rPr>
        <w:t>A</w:t>
      </w:r>
      <w:r w:rsidR="007301AD" w:rsidRPr="00253E3B">
        <w:rPr>
          <w:rFonts w:eastAsia="Calibri"/>
          <w:sz w:val="22"/>
        </w:rPr>
        <w:t xml:space="preserve"> Telebras adota uma abordagem proativa</w:t>
      </w:r>
      <w:r>
        <w:rPr>
          <w:rFonts w:eastAsia="Calibri"/>
          <w:sz w:val="22"/>
        </w:rPr>
        <w:t xml:space="preserve"> na gestão de riscos corporativos operacionais, envolvendo </w:t>
      </w:r>
      <w:r w:rsidR="007301AD" w:rsidRPr="00253E3B">
        <w:rPr>
          <w:rFonts w:eastAsia="Calibri"/>
          <w:sz w:val="22"/>
        </w:rPr>
        <w:t xml:space="preserve">tanto a segunda quanto a primeira linha de defesa, </w:t>
      </w:r>
      <w:r w:rsidR="00EE7F89">
        <w:rPr>
          <w:rFonts w:eastAsia="Calibri"/>
          <w:sz w:val="22"/>
        </w:rPr>
        <w:t>visando</w:t>
      </w:r>
      <w:r w:rsidR="007301AD" w:rsidRPr="00253E3B">
        <w:rPr>
          <w:rFonts w:eastAsia="Calibri"/>
          <w:sz w:val="22"/>
        </w:rPr>
        <w:t xml:space="preserve"> avaliar e gerenciar os fatores de risco. Essa abordagem é </w:t>
      </w:r>
      <w:r>
        <w:rPr>
          <w:rFonts w:eastAsia="Calibri"/>
          <w:sz w:val="22"/>
        </w:rPr>
        <w:t>embasada</w:t>
      </w:r>
      <w:r w:rsidRPr="00253E3B">
        <w:rPr>
          <w:rFonts w:eastAsia="Calibri"/>
          <w:sz w:val="22"/>
        </w:rPr>
        <w:t xml:space="preserve"> </w:t>
      </w:r>
      <w:r w:rsidR="007301AD" w:rsidRPr="00253E3B">
        <w:rPr>
          <w:rFonts w:eastAsia="Calibri"/>
          <w:sz w:val="22"/>
        </w:rPr>
        <w:t>no valor gerado pela organização e abrange os riscos associados a projetos, processos, contratos e atividades específicas. Até dezembro de 2023, a Companhia monitorou ativamente um portfólio composto por 241 riscos corporativos, dos quais 8 eram estratégicos e 233 eram operacionais, reforçando seu compromisso contínuo com a identificação e gestão eficaz dessas possíveis ameaças.</w:t>
      </w:r>
    </w:p>
    <w:p w14:paraId="2045CB83" w14:textId="7C549A50" w:rsidR="00F619EF" w:rsidRPr="00EE7F89" w:rsidRDefault="00F619EF" w:rsidP="00E564AA">
      <w:pPr>
        <w:pStyle w:val="Ttulo2"/>
        <w:tabs>
          <w:tab w:val="left" w:pos="1843"/>
        </w:tabs>
        <w:spacing w:before="240" w:after="240" w:line="276" w:lineRule="auto"/>
        <w:ind w:left="567" w:hanging="567"/>
        <w:rPr>
          <w:rFonts w:eastAsia="Calibri"/>
        </w:rPr>
      </w:pPr>
      <w:bookmarkStart w:id="91" w:name="_Toc161319450"/>
      <w:r w:rsidRPr="00EE7F89">
        <w:rPr>
          <w:rFonts w:eastAsia="Calibri"/>
        </w:rPr>
        <w:t>Gestão</w:t>
      </w:r>
      <w:r w:rsidR="00E564AA" w:rsidRPr="00EE7F89">
        <w:rPr>
          <w:rFonts w:eastAsia="Calibri"/>
        </w:rPr>
        <w:t xml:space="preserve"> Ambiental,</w:t>
      </w:r>
      <w:r w:rsidRPr="00EE7F89">
        <w:rPr>
          <w:rFonts w:eastAsia="Calibri"/>
        </w:rPr>
        <w:t xml:space="preserve"> Social e de Governança </w:t>
      </w:r>
      <w:r w:rsidR="007301AD" w:rsidRPr="00EE7F89">
        <w:rPr>
          <w:rFonts w:eastAsia="Calibri"/>
        </w:rPr>
        <w:t>–</w:t>
      </w:r>
      <w:r w:rsidR="00E564AA" w:rsidRPr="00EE7F89">
        <w:rPr>
          <w:rFonts w:eastAsia="Calibri"/>
        </w:rPr>
        <w:t xml:space="preserve"> ESG</w:t>
      </w:r>
      <w:bookmarkEnd w:id="91"/>
    </w:p>
    <w:p w14:paraId="0BFABBE8" w14:textId="50BFD020" w:rsidR="007301AD" w:rsidRPr="00253E3B" w:rsidRDefault="007301AD" w:rsidP="007301AD">
      <w:pPr>
        <w:spacing w:before="120" w:line="240" w:lineRule="auto"/>
        <w:rPr>
          <w:rFonts w:eastAsia="Calibri"/>
          <w:sz w:val="22"/>
        </w:rPr>
      </w:pPr>
      <w:r w:rsidRPr="00253E3B">
        <w:rPr>
          <w:rFonts w:eastAsia="Calibri"/>
          <w:sz w:val="22"/>
        </w:rPr>
        <w:t>A Telebras reconhece a importância estratégica de adotar princípios e diretrizes de sustentabilidade e responsabilidade social como norteadores de suas ações</w:t>
      </w:r>
      <w:r w:rsidR="00A00623">
        <w:rPr>
          <w:rFonts w:eastAsia="Calibri"/>
          <w:sz w:val="22"/>
        </w:rPr>
        <w:t xml:space="preserve">, demonstrando seu compromisso </w:t>
      </w:r>
      <w:r w:rsidRPr="00253E3B">
        <w:rPr>
          <w:rFonts w:eastAsia="Calibri"/>
          <w:sz w:val="22"/>
        </w:rPr>
        <w:t>como agente responsável e transparente perante a sociedade e o mercado.</w:t>
      </w:r>
    </w:p>
    <w:p w14:paraId="2D077884" w14:textId="78196CB6" w:rsidR="007301AD" w:rsidRPr="00253E3B" w:rsidRDefault="007301AD" w:rsidP="007301AD">
      <w:pPr>
        <w:spacing w:before="120" w:line="240" w:lineRule="auto"/>
        <w:rPr>
          <w:rFonts w:eastAsia="Calibri"/>
          <w:sz w:val="22"/>
        </w:rPr>
      </w:pPr>
      <w:r w:rsidRPr="00253E3B">
        <w:rPr>
          <w:rFonts w:eastAsia="Calibri"/>
          <w:sz w:val="22"/>
        </w:rPr>
        <w:lastRenderedPageBreak/>
        <w:t>A Política Am</w:t>
      </w:r>
      <w:r w:rsidR="00190B9D">
        <w:rPr>
          <w:rFonts w:eastAsia="Calibri"/>
          <w:sz w:val="22"/>
        </w:rPr>
        <w:t xml:space="preserve">biental, Social e de Governança </w:t>
      </w:r>
      <w:r w:rsidRPr="00253E3B">
        <w:rPr>
          <w:rFonts w:eastAsia="Calibri"/>
          <w:sz w:val="22"/>
        </w:rPr>
        <w:t xml:space="preserve">expressa o compromisso da Companhia com os valores universalmente reconhecidos no âmbito ambiental, social e de governança (ESG) </w:t>
      </w:r>
      <w:r w:rsidR="00A00623">
        <w:rPr>
          <w:rFonts w:eastAsia="Calibri"/>
          <w:sz w:val="22"/>
        </w:rPr>
        <w:t xml:space="preserve">e </w:t>
      </w:r>
      <w:r w:rsidRPr="00253E3B">
        <w:rPr>
          <w:rFonts w:eastAsia="Calibri"/>
          <w:sz w:val="22"/>
        </w:rPr>
        <w:t>estabelece princípios de atuação para cada uma das áreas de foco</w:t>
      </w:r>
      <w:r w:rsidR="00A00623">
        <w:rPr>
          <w:rFonts w:eastAsia="Calibri"/>
          <w:sz w:val="22"/>
        </w:rPr>
        <w:t>. A seguir, destacamos al</w:t>
      </w:r>
      <w:r w:rsidRPr="00253E3B">
        <w:rPr>
          <w:rFonts w:eastAsia="Calibri"/>
          <w:sz w:val="22"/>
        </w:rPr>
        <w:t xml:space="preserve">guns </w:t>
      </w:r>
      <w:r w:rsidR="00A00623">
        <w:rPr>
          <w:rFonts w:eastAsia="Calibri"/>
          <w:sz w:val="22"/>
        </w:rPr>
        <w:t>desses princípios</w:t>
      </w:r>
      <w:r w:rsidRPr="00253E3B">
        <w:rPr>
          <w:rFonts w:eastAsia="Calibri"/>
          <w:sz w:val="22"/>
        </w:rPr>
        <w:t>:</w:t>
      </w:r>
    </w:p>
    <w:p w14:paraId="12A73380" w14:textId="6A251E11" w:rsidR="007301AD" w:rsidRDefault="007301AD" w:rsidP="00AE3EC3">
      <w:pPr>
        <w:spacing w:before="120" w:line="240" w:lineRule="auto"/>
        <w:jc w:val="center"/>
        <w:rPr>
          <w:rFonts w:eastAsia="Calibri"/>
          <w:sz w:val="22"/>
        </w:rPr>
      </w:pPr>
      <w:r w:rsidRPr="00253E3B">
        <w:rPr>
          <w:rFonts w:eastAsia="Calibri"/>
          <w:noProof/>
          <w:sz w:val="22"/>
          <w:lang w:eastAsia="pt-BR"/>
        </w:rPr>
        <w:drawing>
          <wp:inline distT="0" distB="0" distL="0" distR="0" wp14:anchorId="57260D72" wp14:editId="276DF19E">
            <wp:extent cx="5552382" cy="5191246"/>
            <wp:effectExtent l="0" t="0" r="0" b="0"/>
            <wp:docPr id="7" name="Imagem 7" descr="C:\Users\erika.oliveira\Downloads\Princípios ESG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ika.oliveira\Downloads\Princípios ESG (1).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4164" r="12902"/>
                    <a:stretch/>
                  </pic:blipFill>
                  <pic:spPr bwMode="auto">
                    <a:xfrm>
                      <a:off x="0" y="0"/>
                      <a:ext cx="5645826" cy="5278612"/>
                    </a:xfrm>
                    <a:prstGeom prst="rect">
                      <a:avLst/>
                    </a:prstGeom>
                    <a:noFill/>
                    <a:ln>
                      <a:noFill/>
                    </a:ln>
                    <a:extLst>
                      <a:ext uri="{53640926-AAD7-44D8-BBD7-CCE9431645EC}">
                        <a14:shadowObscured xmlns:a14="http://schemas.microsoft.com/office/drawing/2010/main"/>
                      </a:ext>
                    </a:extLst>
                  </pic:spPr>
                </pic:pic>
              </a:graphicData>
            </a:graphic>
          </wp:inline>
        </w:drawing>
      </w:r>
    </w:p>
    <w:p w14:paraId="3F7EE25A" w14:textId="7A6C5016" w:rsidR="00190B9D" w:rsidRDefault="00190B9D" w:rsidP="00190B9D">
      <w:pPr>
        <w:pStyle w:val="Legenda"/>
      </w:pPr>
      <w:bookmarkStart w:id="92" w:name="_Toc159258266"/>
      <w:r w:rsidRPr="00190B9D">
        <w:t xml:space="preserve">Figura </w:t>
      </w:r>
      <w:r w:rsidR="006F713F">
        <w:fldChar w:fldCharType="begin"/>
      </w:r>
      <w:r w:rsidR="006F713F">
        <w:instrText xml:space="preserve"> STYLEREF 1 \s </w:instrText>
      </w:r>
      <w:r w:rsidR="006F713F">
        <w:fldChar w:fldCharType="separate"/>
      </w:r>
      <w:r w:rsidR="009B5930">
        <w:rPr>
          <w:noProof/>
        </w:rPr>
        <w:t>5</w:t>
      </w:r>
      <w:r w:rsidR="006F713F">
        <w:rPr>
          <w:noProof/>
        </w:rPr>
        <w:fldChar w:fldCharType="end"/>
      </w:r>
      <w:r w:rsidRPr="00190B9D">
        <w:noBreakHyphen/>
      </w:r>
      <w:r w:rsidR="006F713F">
        <w:fldChar w:fldCharType="begin"/>
      </w:r>
      <w:r w:rsidR="006F713F">
        <w:instrText xml:space="preserve"> SEQ Figura \* ARABIC \s 1 </w:instrText>
      </w:r>
      <w:r w:rsidR="006F713F">
        <w:fldChar w:fldCharType="separate"/>
      </w:r>
      <w:r w:rsidR="009B5930">
        <w:rPr>
          <w:noProof/>
        </w:rPr>
        <w:t>2</w:t>
      </w:r>
      <w:r w:rsidR="006F713F">
        <w:rPr>
          <w:noProof/>
        </w:rPr>
        <w:fldChar w:fldCharType="end"/>
      </w:r>
      <w:r w:rsidRPr="00190B9D">
        <w:t xml:space="preserve"> </w:t>
      </w:r>
      <w:r>
        <w:t xml:space="preserve">Princípios de Atuação </w:t>
      </w:r>
      <w:r w:rsidR="00A00623">
        <w:t>–</w:t>
      </w:r>
      <w:r>
        <w:t xml:space="preserve"> ESG</w:t>
      </w:r>
      <w:bookmarkEnd w:id="92"/>
    </w:p>
    <w:p w14:paraId="2CFF7035" w14:textId="77777777" w:rsidR="00190B9D" w:rsidRPr="00253E3B" w:rsidRDefault="00190B9D" w:rsidP="007301AD">
      <w:pPr>
        <w:spacing w:before="120" w:line="240" w:lineRule="auto"/>
        <w:rPr>
          <w:rFonts w:eastAsia="Calibri"/>
          <w:sz w:val="22"/>
        </w:rPr>
      </w:pPr>
    </w:p>
    <w:p w14:paraId="2B14B9AF" w14:textId="77777777" w:rsidR="007301AD" w:rsidRPr="00190B9D" w:rsidRDefault="007301AD" w:rsidP="00190B9D">
      <w:pPr>
        <w:spacing w:before="120" w:line="240" w:lineRule="auto"/>
        <w:rPr>
          <w:rFonts w:eastAsia="Calibri"/>
          <w:sz w:val="22"/>
        </w:rPr>
      </w:pPr>
      <w:r w:rsidRPr="00253E3B">
        <w:rPr>
          <w:rFonts w:eastAsia="Calibri"/>
          <w:sz w:val="22"/>
        </w:rPr>
        <w:t>Ao fim de 2023, a Telebras decidiu fortalecer estrategicamente a pauta de ESG, considerando sua priorização e aumento da aderência ao negócio. Nesse sentido, os instrumentos normativos e de planejamento estão em processo de revisão, assim como a dinâmica de trabalho e as estratégias de implementação das iniciativas. Dentre as novas ações previstas, incluem-se a criação de um programa de lideranças femininas e ações específica</w:t>
      </w:r>
      <w:r w:rsidR="00190B9D">
        <w:rPr>
          <w:rFonts w:eastAsia="Calibri"/>
          <w:sz w:val="22"/>
        </w:rPr>
        <w:t>s para promoção de diversidade.</w:t>
      </w:r>
    </w:p>
    <w:p w14:paraId="2B8CE65F" w14:textId="41108FC4" w:rsidR="001C734D" w:rsidRPr="00190B9D" w:rsidRDefault="00283642" w:rsidP="00C1746A">
      <w:pPr>
        <w:pStyle w:val="Ttulo2"/>
        <w:tabs>
          <w:tab w:val="left" w:pos="1843"/>
        </w:tabs>
        <w:spacing w:before="240" w:after="240" w:line="276" w:lineRule="auto"/>
        <w:ind w:left="567" w:hanging="567"/>
      </w:pPr>
      <w:bookmarkStart w:id="93" w:name="_Toc161319451"/>
      <w:r w:rsidRPr="00190B9D">
        <w:t>Relações com Investidores e Mercado</w:t>
      </w:r>
      <w:bookmarkEnd w:id="93"/>
    </w:p>
    <w:p w14:paraId="5E798F51" w14:textId="7247A9E6" w:rsidR="00315B56" w:rsidRDefault="00315B56" w:rsidP="007301AD">
      <w:pPr>
        <w:spacing w:before="120" w:line="240" w:lineRule="auto"/>
        <w:rPr>
          <w:rFonts w:ascii="Calibri" w:eastAsia="Calibri" w:hAnsi="Calibri" w:cs="Calibri"/>
          <w:color w:val="082A75"/>
          <w:sz w:val="22"/>
        </w:rPr>
      </w:pPr>
      <w:r>
        <w:rPr>
          <w:rFonts w:ascii="Calibri" w:eastAsia="Calibri" w:hAnsi="Calibri" w:cs="Calibri"/>
          <w:color w:val="082A75"/>
          <w:sz w:val="22"/>
        </w:rPr>
        <w:t>A</w:t>
      </w:r>
      <w:r w:rsidRPr="00315B56">
        <w:rPr>
          <w:rFonts w:ascii="Calibri" w:eastAsia="Calibri" w:hAnsi="Calibri" w:cs="Calibri"/>
          <w:color w:val="082A75"/>
          <w:sz w:val="22"/>
        </w:rPr>
        <w:t xml:space="preserve"> Telebras manteve sua estrutura acionária inalterada, com um total de 67.975.599 ações ordinárias (ON) e 18.407.491 ações preferenciais (PN).</w:t>
      </w:r>
      <w:r w:rsidR="007301AD">
        <w:rPr>
          <w:rFonts w:ascii="Calibri" w:eastAsia="Calibri" w:hAnsi="Calibri" w:cs="Calibri"/>
          <w:color w:val="082A75"/>
          <w:sz w:val="22"/>
        </w:rPr>
        <w:t xml:space="preserve"> </w:t>
      </w:r>
    </w:p>
    <w:p w14:paraId="2406EBEE" w14:textId="31C936BF" w:rsidR="00315B56" w:rsidRDefault="007301AD" w:rsidP="00AE3EC3">
      <w:pPr>
        <w:spacing w:before="120" w:line="240" w:lineRule="auto"/>
      </w:pPr>
      <w:r w:rsidRPr="00776B29">
        <w:rPr>
          <w:rFonts w:ascii="Calibri" w:eastAsia="Calibri" w:hAnsi="Calibri" w:cs="Calibri"/>
          <w:color w:val="082A75"/>
          <w:sz w:val="22"/>
        </w:rPr>
        <w:t xml:space="preserve">O quadro </w:t>
      </w:r>
      <w:r w:rsidR="00315B56">
        <w:rPr>
          <w:rFonts w:ascii="Calibri" w:eastAsia="Calibri" w:hAnsi="Calibri" w:cs="Calibri"/>
          <w:color w:val="082A75"/>
          <w:sz w:val="22"/>
        </w:rPr>
        <w:t xml:space="preserve">a seguir detalha </w:t>
      </w:r>
      <w:r w:rsidRPr="00776B29">
        <w:rPr>
          <w:rFonts w:ascii="Calibri" w:eastAsia="Calibri" w:hAnsi="Calibri" w:cs="Calibri"/>
          <w:color w:val="082A75"/>
          <w:sz w:val="22"/>
        </w:rPr>
        <w:t>os principais investidores da Companhia</w:t>
      </w:r>
      <w:r w:rsidR="00315B56">
        <w:rPr>
          <w:rFonts w:ascii="Calibri" w:eastAsia="Calibri" w:hAnsi="Calibri" w:cs="Calibri"/>
          <w:color w:val="082A75"/>
          <w:sz w:val="22"/>
        </w:rPr>
        <w:t xml:space="preserve">, enquanto o </w:t>
      </w:r>
      <w:r>
        <w:rPr>
          <w:rFonts w:ascii="Calibri" w:eastAsia="Calibri" w:hAnsi="Calibri" w:cs="Calibri"/>
          <w:color w:val="082A75"/>
          <w:sz w:val="22"/>
        </w:rPr>
        <w:t>Organograma Societário</w:t>
      </w:r>
      <w:r w:rsidR="00315B56">
        <w:rPr>
          <w:rFonts w:ascii="Calibri" w:eastAsia="Calibri" w:hAnsi="Calibri" w:cs="Calibri"/>
          <w:color w:val="082A75"/>
          <w:sz w:val="22"/>
        </w:rPr>
        <w:t xml:space="preserve"> fornece uma visão clara da estrutura organizacional e da distribuição acionária.</w:t>
      </w:r>
    </w:p>
    <w:p w14:paraId="7C29F3B0" w14:textId="315BA648" w:rsidR="007301AD" w:rsidRPr="004707F6" w:rsidRDefault="00B74C2E" w:rsidP="00AE3EC3">
      <w:pPr>
        <w:spacing w:before="120" w:line="240" w:lineRule="auto"/>
        <w:jc w:val="center"/>
        <w:rPr>
          <w:highlight w:val="green"/>
        </w:rPr>
      </w:pPr>
      <w:r>
        <w:rPr>
          <w:noProof/>
          <w:lang w:eastAsia="pt-BR"/>
        </w:rPr>
        <w:lastRenderedPageBreak/>
        <w:drawing>
          <wp:inline distT="0" distB="0" distL="0" distR="0" wp14:anchorId="1ADB2DEC" wp14:editId="4776E47D">
            <wp:extent cx="5760720" cy="1791335"/>
            <wp:effectExtent l="0" t="0" r="0" b="0"/>
            <wp:docPr id="1665629059"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1791335"/>
                    </a:xfrm>
                    <a:prstGeom prst="rect">
                      <a:avLst/>
                    </a:prstGeom>
                    <a:noFill/>
                  </pic:spPr>
                </pic:pic>
              </a:graphicData>
            </a:graphic>
          </wp:inline>
        </w:drawing>
      </w:r>
    </w:p>
    <w:p w14:paraId="3FE7B3B2" w14:textId="030F7359" w:rsidR="00C07CF3" w:rsidRPr="00E13D6B" w:rsidRDefault="007301AD" w:rsidP="00826EFF">
      <w:pPr>
        <w:pStyle w:val="Legenda"/>
        <w:spacing w:before="120"/>
      </w:pPr>
      <w:bookmarkStart w:id="94" w:name="_Toc161319865"/>
      <w:r w:rsidRPr="00776B29">
        <w:t xml:space="preserve">Tabela </w:t>
      </w:r>
      <w:r w:rsidR="006F713F">
        <w:fldChar w:fldCharType="begin"/>
      </w:r>
      <w:r w:rsidR="006F713F">
        <w:instrText xml:space="preserve"> STYLEREF 1 \s </w:instrText>
      </w:r>
      <w:r w:rsidR="006F713F">
        <w:fldChar w:fldCharType="separate"/>
      </w:r>
      <w:r w:rsidR="00247165">
        <w:rPr>
          <w:noProof/>
        </w:rPr>
        <w:t>5</w:t>
      </w:r>
      <w:r w:rsidR="006F713F">
        <w:rPr>
          <w:noProof/>
        </w:rPr>
        <w:fldChar w:fldCharType="end"/>
      </w:r>
      <w:r w:rsidRPr="00776B29">
        <w:noBreakHyphen/>
      </w:r>
      <w:r w:rsidR="006F713F">
        <w:fldChar w:fldCharType="begin"/>
      </w:r>
      <w:r w:rsidR="006F713F">
        <w:instrText xml:space="preserve"> SEQ Tabela \* ARABIC \s 1 </w:instrText>
      </w:r>
      <w:r w:rsidR="006F713F">
        <w:fldChar w:fldCharType="separate"/>
      </w:r>
      <w:r w:rsidR="00247165">
        <w:rPr>
          <w:noProof/>
        </w:rPr>
        <w:t>1</w:t>
      </w:r>
      <w:r w:rsidR="006F713F">
        <w:rPr>
          <w:noProof/>
        </w:rPr>
        <w:fldChar w:fldCharType="end"/>
      </w:r>
      <w:r w:rsidRPr="00776B29">
        <w:t xml:space="preserve"> Principais Investidores</w:t>
      </w:r>
      <w:bookmarkEnd w:id="94"/>
    </w:p>
    <w:p w14:paraId="145FA1A3" w14:textId="2CF3CC8D" w:rsidR="007301AD" w:rsidRDefault="00826EFF" w:rsidP="00826EFF">
      <w:pPr>
        <w:tabs>
          <w:tab w:val="clear" w:pos="851"/>
        </w:tabs>
        <w:spacing w:line="240" w:lineRule="auto"/>
        <w:ind w:left="-426"/>
        <w:jc w:val="center"/>
        <w:rPr>
          <w:sz w:val="22"/>
        </w:rPr>
      </w:pPr>
      <w:r>
        <w:rPr>
          <w:noProof/>
          <w:sz w:val="22"/>
          <w:lang w:eastAsia="pt-BR"/>
        </w:rPr>
        <w:drawing>
          <wp:inline distT="0" distB="0" distL="0" distR="0" wp14:anchorId="655CEC07" wp14:editId="78206BE7">
            <wp:extent cx="5760720" cy="3328035"/>
            <wp:effectExtent l="0" t="0" r="0" b="571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328035"/>
                    </a:xfrm>
                    <a:prstGeom prst="rect">
                      <a:avLst/>
                    </a:prstGeom>
                  </pic:spPr>
                </pic:pic>
              </a:graphicData>
            </a:graphic>
          </wp:inline>
        </w:drawing>
      </w:r>
    </w:p>
    <w:p w14:paraId="6CCD2708" w14:textId="6B80AB5B" w:rsidR="00190B9D" w:rsidRPr="00190B9D" w:rsidRDefault="00190B9D" w:rsidP="00190B9D">
      <w:pPr>
        <w:pStyle w:val="Legenda"/>
      </w:pPr>
      <w:bookmarkStart w:id="95" w:name="_Toc159258267"/>
      <w:r w:rsidRPr="00190B9D">
        <w:t xml:space="preserve">Figura </w:t>
      </w:r>
      <w:r w:rsidR="006F713F">
        <w:fldChar w:fldCharType="begin"/>
      </w:r>
      <w:r w:rsidR="006F713F">
        <w:instrText xml:space="preserve"> STYLEREF 1 \s </w:instrText>
      </w:r>
      <w:r w:rsidR="006F713F">
        <w:fldChar w:fldCharType="separate"/>
      </w:r>
      <w:r w:rsidR="009B5930">
        <w:rPr>
          <w:noProof/>
        </w:rPr>
        <w:t>5</w:t>
      </w:r>
      <w:r w:rsidR="006F713F">
        <w:rPr>
          <w:noProof/>
        </w:rPr>
        <w:fldChar w:fldCharType="end"/>
      </w:r>
      <w:r w:rsidRPr="00190B9D">
        <w:noBreakHyphen/>
      </w:r>
      <w:r w:rsidR="006F713F">
        <w:fldChar w:fldCharType="begin"/>
      </w:r>
      <w:r w:rsidR="006F713F">
        <w:instrText xml:space="preserve"> SEQ Figura \* ARABIC \s 1 </w:instrText>
      </w:r>
      <w:r w:rsidR="006F713F">
        <w:fldChar w:fldCharType="separate"/>
      </w:r>
      <w:r w:rsidR="009B5930">
        <w:rPr>
          <w:noProof/>
        </w:rPr>
        <w:t>3</w:t>
      </w:r>
      <w:r w:rsidR="006F713F">
        <w:rPr>
          <w:noProof/>
        </w:rPr>
        <w:fldChar w:fldCharType="end"/>
      </w:r>
      <w:r w:rsidRPr="00190B9D">
        <w:t xml:space="preserve"> </w:t>
      </w:r>
      <w:r>
        <w:t>Organograma Societário</w:t>
      </w:r>
      <w:bookmarkEnd w:id="95"/>
    </w:p>
    <w:p w14:paraId="33C8954D" w14:textId="34BB40C5" w:rsidR="007301AD" w:rsidRDefault="007301AD" w:rsidP="007301AD">
      <w:pPr>
        <w:spacing w:line="240" w:lineRule="auto"/>
      </w:pPr>
      <w:r w:rsidRPr="00776B29">
        <w:rPr>
          <w:sz w:val="22"/>
        </w:rPr>
        <w:t xml:space="preserve">Os acionistas e investidores </w:t>
      </w:r>
      <w:r w:rsidR="00C07CF3">
        <w:rPr>
          <w:sz w:val="22"/>
        </w:rPr>
        <w:t xml:space="preserve">em obter </w:t>
      </w:r>
      <w:r w:rsidRPr="00776B29">
        <w:rPr>
          <w:sz w:val="22"/>
        </w:rPr>
        <w:t xml:space="preserve">mais informações podem </w:t>
      </w:r>
      <w:r w:rsidR="00C07CF3">
        <w:rPr>
          <w:sz w:val="22"/>
        </w:rPr>
        <w:t>contatar</w:t>
      </w:r>
      <w:r w:rsidRPr="00776B29">
        <w:rPr>
          <w:sz w:val="22"/>
        </w:rPr>
        <w:t xml:space="preserve"> a Assessoria de Relações com Investidores pelo e-mail investidores@telebras.com.br ou pelo telefone (61) 2027-1210.</w:t>
      </w:r>
    </w:p>
    <w:p w14:paraId="5FCBD5B3" w14:textId="4E63D136" w:rsidR="003E68A6" w:rsidRPr="00271658" w:rsidRDefault="3408FA68" w:rsidP="00776B29">
      <w:pPr>
        <w:pStyle w:val="Ttulo2"/>
        <w:tabs>
          <w:tab w:val="left" w:pos="1843"/>
        </w:tabs>
        <w:spacing w:before="360" w:after="240" w:line="276" w:lineRule="auto"/>
        <w:ind w:left="567" w:hanging="567"/>
      </w:pPr>
      <w:bookmarkStart w:id="96" w:name="_Toc62463835"/>
      <w:bookmarkStart w:id="97" w:name="_Toc62463902"/>
      <w:bookmarkStart w:id="98" w:name="_Toc62466024"/>
      <w:bookmarkStart w:id="99" w:name="_Toc62466282"/>
      <w:bookmarkStart w:id="100" w:name="_Toc62549329"/>
      <w:bookmarkStart w:id="101" w:name="_Toc62549498"/>
      <w:bookmarkStart w:id="102" w:name="_Toc62551347"/>
      <w:bookmarkStart w:id="103" w:name="_Toc62656191"/>
      <w:bookmarkStart w:id="104" w:name="_Toc62718837"/>
      <w:bookmarkStart w:id="105" w:name="_Toc62718890"/>
      <w:bookmarkStart w:id="106" w:name="_Toc62718992"/>
      <w:bookmarkStart w:id="107" w:name="_Toc62719047"/>
      <w:bookmarkStart w:id="108" w:name="_Toc62719161"/>
      <w:bookmarkStart w:id="109" w:name="_Toc62720471"/>
      <w:bookmarkStart w:id="110" w:name="_Toc62812413"/>
      <w:bookmarkStart w:id="111" w:name="_Toc62828150"/>
      <w:bookmarkStart w:id="112" w:name="_Toc63089465"/>
      <w:bookmarkStart w:id="113" w:name="_Toc63089515"/>
      <w:bookmarkStart w:id="114" w:name="_Toc161319452"/>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Pr="00271658">
        <w:t>Gestão Empresarial</w:t>
      </w:r>
      <w:bookmarkEnd w:id="114"/>
    </w:p>
    <w:p w14:paraId="4DF7070D" w14:textId="043F501D" w:rsidR="006F633F" w:rsidRPr="00271658" w:rsidRDefault="00B764B4" w:rsidP="00776B29">
      <w:pPr>
        <w:pStyle w:val="Ttulo3"/>
        <w:spacing w:before="240" w:after="120"/>
        <w:ind w:left="709" w:hanging="709"/>
      </w:pPr>
      <w:bookmarkStart w:id="115" w:name="_Toc161319453"/>
      <w:r w:rsidRPr="00271658">
        <w:t>Desempenho Estratégico</w:t>
      </w:r>
      <w:bookmarkEnd w:id="115"/>
      <w:r w:rsidRPr="00271658">
        <w:tab/>
      </w:r>
    </w:p>
    <w:p w14:paraId="142BEDC5" w14:textId="1DA51397" w:rsidR="00271658" w:rsidRPr="00271658" w:rsidRDefault="00271658" w:rsidP="00271658">
      <w:pPr>
        <w:spacing w:before="120" w:line="240" w:lineRule="auto"/>
        <w:rPr>
          <w:rFonts w:eastAsia="Arial"/>
          <w:bCs/>
          <w:sz w:val="22"/>
          <w:lang w:bidi="pt-BR"/>
        </w:rPr>
      </w:pPr>
      <w:r>
        <w:rPr>
          <w:rFonts w:eastAsia="Arial"/>
          <w:bCs/>
          <w:sz w:val="22"/>
          <w:lang w:bidi="pt-BR"/>
        </w:rPr>
        <w:t>Em 2023</w:t>
      </w:r>
      <w:r w:rsidRPr="00271658">
        <w:rPr>
          <w:rFonts w:eastAsia="Arial"/>
          <w:bCs/>
          <w:sz w:val="22"/>
          <w:lang w:bidi="pt-BR"/>
        </w:rPr>
        <w:t>, a</w:t>
      </w:r>
      <w:r w:rsidR="007372AF">
        <w:rPr>
          <w:rFonts w:eastAsia="Arial"/>
          <w:bCs/>
          <w:sz w:val="22"/>
          <w:lang w:bidi="pt-BR"/>
        </w:rPr>
        <w:t xml:space="preserve"> Telebras</w:t>
      </w:r>
      <w:r w:rsidRPr="00271658">
        <w:rPr>
          <w:rFonts w:eastAsia="Arial"/>
          <w:bCs/>
          <w:sz w:val="22"/>
          <w:lang w:bidi="pt-BR"/>
        </w:rPr>
        <w:t xml:space="preserve"> reformulou seu Planejamento Es</w:t>
      </w:r>
      <w:r>
        <w:rPr>
          <w:rFonts w:eastAsia="Arial"/>
          <w:bCs/>
          <w:sz w:val="22"/>
          <w:lang w:bidi="pt-BR"/>
        </w:rPr>
        <w:t>tratégico para o quinquênio 2024 a 2028</w:t>
      </w:r>
      <w:r w:rsidRPr="00271658">
        <w:rPr>
          <w:rFonts w:eastAsia="Arial"/>
          <w:bCs/>
          <w:sz w:val="22"/>
          <w:lang w:bidi="pt-BR"/>
        </w:rPr>
        <w:t>. Os direcionadores estratégicos enfatizam o atendimento às políticas de telecomunicações, segurança nacional e gestão sustentável, na diversificação do portfólio de produtos e serviços e na gestão eficiente dos recursos materiais, orçamentários, financeiros e patrimoniais.  Os direcionadores estratégicos atualizados, estão descritos a seguir:</w:t>
      </w:r>
    </w:p>
    <w:p w14:paraId="30CBEEAC" w14:textId="77777777" w:rsidR="00271658" w:rsidRPr="00271658" w:rsidRDefault="00271658" w:rsidP="00271658">
      <w:pPr>
        <w:spacing w:before="120" w:line="240" w:lineRule="auto"/>
        <w:rPr>
          <w:rFonts w:eastAsia="Arial" w:cs="Arial"/>
          <w:bCs/>
          <w:sz w:val="22"/>
          <w:lang w:bidi="pt-BR"/>
        </w:rPr>
      </w:pPr>
      <w:r w:rsidRPr="00271658">
        <w:rPr>
          <w:rFonts w:eastAsia="Arial" w:cs="Arial"/>
          <w:b/>
          <w:bCs/>
          <w:sz w:val="22"/>
          <w:lang w:bidi="pt-BR"/>
        </w:rPr>
        <w:t xml:space="preserve">Missão: </w:t>
      </w:r>
      <w:r w:rsidRPr="00271658">
        <w:rPr>
          <w:rFonts w:eastAsia="Arial" w:cs="Arial"/>
          <w:bCs/>
          <w:sz w:val="22"/>
          <w:lang w:bidi="pt-BR"/>
        </w:rPr>
        <w:t>Conectar o Brasil com soluções de telecomunicações e tecnológicas para a segurança e o desenvolvimento nacional, democratizando o acesso à informação.</w:t>
      </w:r>
    </w:p>
    <w:p w14:paraId="06ED5AF7" w14:textId="77777777" w:rsidR="00271658" w:rsidRPr="00271658" w:rsidRDefault="00271658" w:rsidP="00271658">
      <w:pPr>
        <w:spacing w:before="120" w:line="240" w:lineRule="auto"/>
        <w:rPr>
          <w:rFonts w:eastAsia="Arial" w:cs="Arial"/>
          <w:bCs/>
          <w:sz w:val="22"/>
          <w:lang w:bidi="pt-BR"/>
        </w:rPr>
      </w:pPr>
      <w:r w:rsidRPr="00271658">
        <w:rPr>
          <w:rFonts w:eastAsia="Arial" w:cs="Arial"/>
          <w:b/>
          <w:bCs/>
          <w:sz w:val="22"/>
          <w:lang w:bidi="pt-BR"/>
        </w:rPr>
        <w:lastRenderedPageBreak/>
        <w:t xml:space="preserve">Visão: </w:t>
      </w:r>
      <w:r w:rsidRPr="00271658">
        <w:rPr>
          <w:rFonts w:eastAsia="Arial" w:cs="Arial"/>
          <w:bCs/>
          <w:sz w:val="22"/>
          <w:lang w:bidi="pt-BR"/>
        </w:rPr>
        <w:t xml:space="preserve">Ser reconhecida como o provedor de comunicação segura de Estado e de soluções de telecomunicações e tecnológicas em apoio às políticas públicas. </w:t>
      </w:r>
    </w:p>
    <w:p w14:paraId="3E6C403A" w14:textId="77777777" w:rsidR="002A1A3F" w:rsidRPr="00271658" w:rsidRDefault="002A1A3F" w:rsidP="00776B29">
      <w:pPr>
        <w:spacing w:before="120" w:line="240" w:lineRule="auto"/>
        <w:rPr>
          <w:rFonts w:eastAsia="Arial" w:cs="Arial"/>
          <w:b/>
          <w:bCs/>
          <w:sz w:val="22"/>
          <w:lang w:bidi="pt-BR"/>
        </w:rPr>
      </w:pPr>
      <w:r w:rsidRPr="00271658">
        <w:rPr>
          <w:rFonts w:eastAsia="Arial" w:cs="Arial"/>
          <w:b/>
          <w:bCs/>
          <w:sz w:val="22"/>
          <w:lang w:bidi="pt-BR"/>
        </w:rPr>
        <w:t>Valores:</w:t>
      </w:r>
    </w:p>
    <w:p w14:paraId="59E8B9C0" w14:textId="77777777" w:rsidR="002A1A3F" w:rsidRPr="00271658" w:rsidRDefault="002A1A3F" w:rsidP="00FE115B">
      <w:pPr>
        <w:numPr>
          <w:ilvl w:val="0"/>
          <w:numId w:val="18"/>
        </w:numPr>
        <w:spacing w:before="120" w:line="240" w:lineRule="auto"/>
        <w:rPr>
          <w:rFonts w:eastAsia="Arial" w:cs="Arial"/>
          <w:bCs/>
          <w:sz w:val="22"/>
          <w:lang w:bidi="pt-BR"/>
        </w:rPr>
      </w:pPr>
      <w:r w:rsidRPr="00271658">
        <w:rPr>
          <w:rFonts w:eastAsia="Arial" w:cs="Arial"/>
          <w:b/>
          <w:bCs/>
          <w:sz w:val="22"/>
          <w:lang w:bidi="pt-BR"/>
        </w:rPr>
        <w:t>Foco no Cliente</w:t>
      </w:r>
      <w:r w:rsidRPr="00271658">
        <w:rPr>
          <w:rFonts w:eastAsia="Arial" w:cs="Arial"/>
          <w:bCs/>
          <w:sz w:val="22"/>
          <w:lang w:bidi="pt-BR"/>
        </w:rPr>
        <w:t>: Nossas ações são orientadas e desenvolvidas para atender às necessidades dos clientes de forma rápida e eficiente.</w:t>
      </w:r>
    </w:p>
    <w:p w14:paraId="502ADBEE" w14:textId="77777777" w:rsidR="002A1A3F" w:rsidRPr="00271658" w:rsidRDefault="002A1A3F" w:rsidP="00FE115B">
      <w:pPr>
        <w:numPr>
          <w:ilvl w:val="0"/>
          <w:numId w:val="18"/>
        </w:numPr>
        <w:spacing w:before="120" w:line="240" w:lineRule="auto"/>
        <w:rPr>
          <w:rFonts w:eastAsia="Arial" w:cs="Arial"/>
          <w:bCs/>
          <w:sz w:val="22"/>
          <w:lang w:bidi="pt-BR"/>
        </w:rPr>
      </w:pPr>
      <w:r w:rsidRPr="00271658">
        <w:rPr>
          <w:rFonts w:eastAsia="Arial" w:cs="Arial"/>
          <w:b/>
          <w:bCs/>
          <w:sz w:val="22"/>
          <w:lang w:bidi="pt-BR"/>
        </w:rPr>
        <w:t>Compromisso com Resultados</w:t>
      </w:r>
      <w:r w:rsidRPr="00271658">
        <w:rPr>
          <w:rFonts w:eastAsia="Arial" w:cs="Arial"/>
          <w:bCs/>
          <w:sz w:val="22"/>
          <w:lang w:bidi="pt-BR"/>
        </w:rPr>
        <w:t>: Estamos determinados a alcançar os objetivos e metas estabelecidos.</w:t>
      </w:r>
    </w:p>
    <w:p w14:paraId="174429DB" w14:textId="77777777" w:rsidR="002A1A3F" w:rsidRPr="00271658" w:rsidRDefault="002A1A3F" w:rsidP="00FE115B">
      <w:pPr>
        <w:numPr>
          <w:ilvl w:val="0"/>
          <w:numId w:val="18"/>
        </w:numPr>
        <w:spacing w:before="120" w:line="240" w:lineRule="auto"/>
        <w:rPr>
          <w:rFonts w:eastAsia="Arial" w:cs="Arial"/>
          <w:bCs/>
          <w:sz w:val="22"/>
          <w:lang w:bidi="pt-BR"/>
        </w:rPr>
      </w:pPr>
      <w:r w:rsidRPr="00271658">
        <w:rPr>
          <w:rFonts w:eastAsia="Arial" w:cs="Arial"/>
          <w:b/>
          <w:bCs/>
          <w:sz w:val="22"/>
          <w:lang w:bidi="pt-BR"/>
        </w:rPr>
        <w:t>Valorização do Capital Humano</w:t>
      </w:r>
      <w:r w:rsidRPr="00271658">
        <w:rPr>
          <w:rFonts w:eastAsia="Arial" w:cs="Arial"/>
          <w:bCs/>
          <w:sz w:val="22"/>
          <w:lang w:bidi="pt-BR"/>
        </w:rPr>
        <w:t>: Nossa equipe é o nosso maior ativo e juntos transformamos realidades.</w:t>
      </w:r>
    </w:p>
    <w:p w14:paraId="2D067BB8" w14:textId="77777777" w:rsidR="002A1A3F" w:rsidRPr="00271658" w:rsidRDefault="002A1A3F" w:rsidP="00FE115B">
      <w:pPr>
        <w:numPr>
          <w:ilvl w:val="0"/>
          <w:numId w:val="18"/>
        </w:numPr>
        <w:spacing w:before="120" w:line="240" w:lineRule="auto"/>
        <w:rPr>
          <w:rFonts w:eastAsia="Arial" w:cs="Arial"/>
          <w:bCs/>
          <w:sz w:val="22"/>
          <w:lang w:bidi="pt-BR"/>
        </w:rPr>
      </w:pPr>
      <w:r w:rsidRPr="00271658">
        <w:rPr>
          <w:rFonts w:eastAsia="Arial" w:cs="Arial"/>
          <w:b/>
          <w:bCs/>
          <w:sz w:val="22"/>
          <w:lang w:bidi="pt-BR"/>
        </w:rPr>
        <w:t>Respeito:</w:t>
      </w:r>
      <w:r w:rsidRPr="00271658">
        <w:rPr>
          <w:rFonts w:eastAsia="Arial" w:cs="Arial"/>
          <w:bCs/>
          <w:sz w:val="22"/>
          <w:lang w:bidi="pt-BR"/>
        </w:rPr>
        <w:t xml:space="preserve"> Respeitamos as pessoas e nossos compromissos.</w:t>
      </w:r>
    </w:p>
    <w:p w14:paraId="6CC50E6B" w14:textId="77777777" w:rsidR="002A1A3F" w:rsidRPr="00271658" w:rsidRDefault="002A1A3F" w:rsidP="00FE115B">
      <w:pPr>
        <w:numPr>
          <w:ilvl w:val="0"/>
          <w:numId w:val="18"/>
        </w:numPr>
        <w:spacing w:before="120" w:line="240" w:lineRule="auto"/>
        <w:rPr>
          <w:rFonts w:eastAsia="Arial" w:cs="Arial"/>
          <w:bCs/>
          <w:sz w:val="22"/>
          <w:lang w:bidi="pt-BR"/>
        </w:rPr>
      </w:pPr>
      <w:r w:rsidRPr="00271658">
        <w:rPr>
          <w:rFonts w:eastAsia="Arial" w:cs="Arial"/>
          <w:b/>
          <w:bCs/>
          <w:sz w:val="22"/>
          <w:lang w:bidi="pt-BR"/>
        </w:rPr>
        <w:t>Integridade e Ética</w:t>
      </w:r>
      <w:r w:rsidRPr="00271658">
        <w:rPr>
          <w:rFonts w:eastAsia="Arial" w:cs="Arial"/>
          <w:bCs/>
          <w:sz w:val="22"/>
          <w:lang w:bidi="pt-BR"/>
        </w:rPr>
        <w:t>: Fazemos o que é certo e cumprimos o que prometemos.</w:t>
      </w:r>
    </w:p>
    <w:p w14:paraId="5EC71123" w14:textId="09D91507" w:rsidR="002A1A3F" w:rsidRPr="00271658" w:rsidRDefault="002A1A3F" w:rsidP="00FE115B">
      <w:pPr>
        <w:numPr>
          <w:ilvl w:val="0"/>
          <w:numId w:val="18"/>
        </w:numPr>
        <w:spacing w:before="120" w:line="240" w:lineRule="auto"/>
        <w:rPr>
          <w:rFonts w:eastAsia="Arial" w:cs="Arial"/>
          <w:bCs/>
          <w:sz w:val="22"/>
          <w:lang w:bidi="pt-BR"/>
        </w:rPr>
      </w:pPr>
      <w:r w:rsidRPr="00271658">
        <w:rPr>
          <w:rFonts w:eastAsia="Arial" w:cs="Arial"/>
          <w:b/>
          <w:bCs/>
          <w:sz w:val="22"/>
          <w:lang w:bidi="pt-BR"/>
        </w:rPr>
        <w:t>Responsabilidade Social</w:t>
      </w:r>
      <w:r w:rsidR="00271658" w:rsidRPr="00271658">
        <w:rPr>
          <w:rFonts w:eastAsia="Arial" w:cs="Arial"/>
          <w:b/>
          <w:bCs/>
          <w:sz w:val="22"/>
          <w:lang w:bidi="pt-BR"/>
        </w:rPr>
        <w:t xml:space="preserve"> e Ambiental</w:t>
      </w:r>
      <w:r w:rsidRPr="00271658">
        <w:rPr>
          <w:rFonts w:eastAsia="Arial" w:cs="Arial"/>
          <w:bCs/>
          <w:sz w:val="22"/>
          <w:lang w:bidi="pt-BR"/>
        </w:rPr>
        <w:t>: Trabalhamos para assegurar a acessibilidade e inclusão digita</w:t>
      </w:r>
      <w:r w:rsidR="00271658">
        <w:rPr>
          <w:rFonts w:eastAsia="Arial" w:cs="Arial"/>
          <w:bCs/>
          <w:sz w:val="22"/>
          <w:lang w:bidi="pt-BR"/>
        </w:rPr>
        <w:t>l em todo o território nacional, mantendo um compromisso com práticas sustentáveis e respeito ao meio ambiente.</w:t>
      </w:r>
    </w:p>
    <w:p w14:paraId="72667EAE" w14:textId="7540B7B8" w:rsidR="002A1A3F" w:rsidRPr="00271658" w:rsidRDefault="002A1A3F" w:rsidP="00FE115B">
      <w:pPr>
        <w:pStyle w:val="PargrafodaLista"/>
        <w:numPr>
          <w:ilvl w:val="0"/>
          <w:numId w:val="18"/>
        </w:numPr>
        <w:spacing w:before="120" w:line="240" w:lineRule="auto"/>
        <w:contextualSpacing w:val="0"/>
        <w:rPr>
          <w:rFonts w:eastAsia="Arial" w:cs="Arial"/>
          <w:sz w:val="22"/>
        </w:rPr>
      </w:pPr>
      <w:r w:rsidRPr="00271658">
        <w:rPr>
          <w:rFonts w:eastAsia="Arial" w:cs="Arial"/>
          <w:b/>
          <w:bCs/>
          <w:sz w:val="22"/>
          <w:lang w:bidi="pt-BR"/>
        </w:rPr>
        <w:t>Ser inovador:</w:t>
      </w:r>
      <w:r w:rsidRPr="00271658">
        <w:rPr>
          <w:rFonts w:eastAsia="Arial" w:cs="Arial"/>
          <w:bCs/>
          <w:sz w:val="22"/>
          <w:lang w:bidi="pt-BR"/>
        </w:rPr>
        <w:t xml:space="preserve"> Exploramos e desenvolvemos soluções inovadoras de tecnologias, processos e ferramentas</w:t>
      </w:r>
      <w:r w:rsidR="00271658">
        <w:rPr>
          <w:rFonts w:eastAsia="Arial" w:cs="Arial"/>
          <w:bCs/>
          <w:sz w:val="22"/>
          <w:lang w:bidi="pt-BR"/>
        </w:rPr>
        <w:t>.</w:t>
      </w:r>
    </w:p>
    <w:p w14:paraId="1052D7A3" w14:textId="3E1445A6" w:rsidR="00271658" w:rsidRPr="00271658" w:rsidRDefault="00271658" w:rsidP="00271658">
      <w:pPr>
        <w:pStyle w:val="PargrafodaLista"/>
        <w:numPr>
          <w:ilvl w:val="0"/>
          <w:numId w:val="18"/>
        </w:numPr>
        <w:spacing w:before="120" w:line="240" w:lineRule="auto"/>
        <w:contextualSpacing w:val="0"/>
        <w:rPr>
          <w:rFonts w:eastAsia="Arial" w:cs="Arial"/>
          <w:sz w:val="22"/>
        </w:rPr>
      </w:pPr>
      <w:r>
        <w:rPr>
          <w:rFonts w:eastAsia="Arial" w:cs="Arial"/>
          <w:b/>
          <w:bCs/>
          <w:sz w:val="22"/>
          <w:lang w:bidi="pt-BR"/>
        </w:rPr>
        <w:t>Nossa Rede em Defesa da Vida</w:t>
      </w:r>
      <w:r w:rsidRPr="00271658">
        <w:rPr>
          <w:rFonts w:eastAsia="Arial" w:cs="Arial"/>
          <w:b/>
          <w:bCs/>
          <w:sz w:val="22"/>
          <w:lang w:bidi="pt-BR"/>
        </w:rPr>
        <w:t>:</w:t>
      </w:r>
      <w:r w:rsidRPr="00271658">
        <w:rPr>
          <w:rFonts w:eastAsia="Arial" w:cs="Arial"/>
          <w:bCs/>
          <w:sz w:val="22"/>
          <w:lang w:bidi="pt-BR"/>
        </w:rPr>
        <w:t xml:space="preserve"> </w:t>
      </w:r>
      <w:r>
        <w:rPr>
          <w:rFonts w:eastAsia="Arial" w:cs="Arial"/>
          <w:bCs/>
          <w:sz w:val="22"/>
          <w:lang w:bidi="pt-BR"/>
        </w:rPr>
        <w:t xml:space="preserve">Comprometidos em </w:t>
      </w:r>
      <w:proofErr w:type="spellStart"/>
      <w:r>
        <w:rPr>
          <w:rFonts w:eastAsia="Arial" w:cs="Arial"/>
          <w:bCs/>
          <w:sz w:val="22"/>
          <w:lang w:bidi="pt-BR"/>
        </w:rPr>
        <w:t>fornecer</w:t>
      </w:r>
      <w:proofErr w:type="spellEnd"/>
      <w:r>
        <w:rPr>
          <w:rFonts w:eastAsia="Arial" w:cs="Arial"/>
          <w:bCs/>
          <w:sz w:val="22"/>
          <w:lang w:bidi="pt-BR"/>
        </w:rPr>
        <w:t xml:space="preserve"> conectividade confiável e rápida para equipes de resgate em momentos críticos.</w:t>
      </w:r>
    </w:p>
    <w:p w14:paraId="746317F1" w14:textId="74A6E6B8" w:rsidR="00FE196B" w:rsidRPr="00A726E7" w:rsidRDefault="00FE196B" w:rsidP="00776B29">
      <w:pPr>
        <w:spacing w:line="240" w:lineRule="auto"/>
        <w:rPr>
          <w:bCs/>
          <w:sz w:val="22"/>
          <w:lang w:bidi="pt-BR"/>
        </w:rPr>
      </w:pPr>
      <w:r w:rsidRPr="00A726E7">
        <w:rPr>
          <w:b/>
          <w:bCs/>
          <w:sz w:val="22"/>
          <w:lang w:bidi="pt-BR"/>
        </w:rPr>
        <w:t>Mapa Estratégico:</w:t>
      </w:r>
      <w:r w:rsidRPr="00A726E7">
        <w:rPr>
          <w:bCs/>
          <w:sz w:val="22"/>
          <w:lang w:bidi="pt-BR"/>
        </w:rPr>
        <w:t xml:space="preserve"> O mapa estratégico da Telebras está estruturado em cinco perspectivas, representando o encadeamento lógico de sua estratégia de atuação. Cada perspectiva engloba um conjunto de objetivos estratégicos que retrata os principais desafios a serem enfrentados pela Telebras no alcance de sua Visão e no cumprimento de sua Missão. </w:t>
      </w:r>
    </w:p>
    <w:p w14:paraId="189A6859" w14:textId="77777777" w:rsidR="00FE196B" w:rsidRPr="00A726E7" w:rsidRDefault="00FE196B" w:rsidP="00FE115B">
      <w:pPr>
        <w:pStyle w:val="PargrafodaLista"/>
        <w:numPr>
          <w:ilvl w:val="0"/>
          <w:numId w:val="20"/>
        </w:numPr>
        <w:spacing w:before="120" w:line="240" w:lineRule="auto"/>
        <w:ind w:left="714" w:hanging="357"/>
        <w:contextualSpacing w:val="0"/>
        <w:rPr>
          <w:bCs/>
          <w:sz w:val="22"/>
          <w:lang w:bidi="pt-BR"/>
        </w:rPr>
      </w:pPr>
      <w:r w:rsidRPr="00A726E7">
        <w:rPr>
          <w:bCs/>
          <w:sz w:val="22"/>
          <w:lang w:bidi="pt-BR"/>
        </w:rPr>
        <w:t xml:space="preserve">A </w:t>
      </w:r>
      <w:r w:rsidRPr="00A726E7">
        <w:rPr>
          <w:b/>
          <w:bCs/>
          <w:sz w:val="22"/>
          <w:lang w:bidi="pt-BR"/>
        </w:rPr>
        <w:t>Perspectiva de Aprendizado e Crescimento</w:t>
      </w:r>
      <w:r w:rsidRPr="00A726E7">
        <w:rPr>
          <w:bCs/>
          <w:sz w:val="22"/>
          <w:lang w:bidi="pt-BR"/>
        </w:rPr>
        <w:t xml:space="preserve"> define a capacidade que a Telebras possui para manter seu capital intelectual com elevado grau de motivação, satisfação interna e produtividade. Abrange pessoas, tecnologia e infraestrutura.</w:t>
      </w:r>
    </w:p>
    <w:p w14:paraId="76A1D21B" w14:textId="052FB1A7" w:rsidR="00FE196B" w:rsidRPr="00A726E7" w:rsidRDefault="00FE196B" w:rsidP="00FE115B">
      <w:pPr>
        <w:pStyle w:val="PargrafodaLista"/>
        <w:numPr>
          <w:ilvl w:val="0"/>
          <w:numId w:val="20"/>
        </w:numPr>
        <w:spacing w:before="120" w:line="240" w:lineRule="auto"/>
        <w:ind w:left="714" w:hanging="357"/>
        <w:contextualSpacing w:val="0"/>
        <w:rPr>
          <w:bCs/>
          <w:sz w:val="22"/>
          <w:lang w:bidi="pt-BR"/>
        </w:rPr>
      </w:pPr>
      <w:r w:rsidRPr="00A726E7">
        <w:rPr>
          <w:bCs/>
          <w:sz w:val="22"/>
          <w:lang w:bidi="pt-BR"/>
        </w:rPr>
        <w:t xml:space="preserve">A </w:t>
      </w:r>
      <w:r w:rsidRPr="00A726E7">
        <w:rPr>
          <w:b/>
          <w:bCs/>
          <w:sz w:val="22"/>
          <w:lang w:bidi="pt-BR"/>
        </w:rPr>
        <w:t>Perspectiva de Organização, Processos e Governança</w:t>
      </w:r>
      <w:r w:rsidRPr="00A726E7">
        <w:rPr>
          <w:bCs/>
          <w:sz w:val="22"/>
          <w:lang w:bidi="pt-BR"/>
        </w:rPr>
        <w:t xml:space="preserve"> define o grau de inovação nos processos de gestão, </w:t>
      </w:r>
      <w:r w:rsidR="00A726E7" w:rsidRPr="00A726E7">
        <w:rPr>
          <w:bCs/>
          <w:sz w:val="22"/>
          <w:lang w:bidi="pt-BR"/>
        </w:rPr>
        <w:t xml:space="preserve">integridade, </w:t>
      </w:r>
      <w:r w:rsidRPr="00A726E7">
        <w:rPr>
          <w:bCs/>
          <w:sz w:val="22"/>
          <w:lang w:bidi="pt-BR"/>
        </w:rPr>
        <w:t>o nível de qualidade das operações e a viabilização dos objetivos.</w:t>
      </w:r>
      <w:r w:rsidR="00A726E7" w:rsidRPr="00A726E7">
        <w:rPr>
          <w:bCs/>
          <w:sz w:val="22"/>
          <w:lang w:bidi="pt-BR"/>
        </w:rPr>
        <w:t xml:space="preserve"> Almejamos processos mais eficientes, operações de alta qualidade e uma gestão transparente que inspire confiança em todos os stakeholders.</w:t>
      </w:r>
    </w:p>
    <w:p w14:paraId="3906435B" w14:textId="77777777" w:rsidR="00FE196B" w:rsidRPr="00A726E7" w:rsidRDefault="00FE196B" w:rsidP="00FE115B">
      <w:pPr>
        <w:pStyle w:val="PargrafodaLista"/>
        <w:numPr>
          <w:ilvl w:val="0"/>
          <w:numId w:val="20"/>
        </w:numPr>
        <w:spacing w:before="120" w:line="240" w:lineRule="auto"/>
        <w:ind w:left="714" w:hanging="357"/>
        <w:contextualSpacing w:val="0"/>
        <w:rPr>
          <w:bCs/>
          <w:sz w:val="22"/>
          <w:lang w:bidi="pt-BR"/>
        </w:rPr>
      </w:pPr>
      <w:r w:rsidRPr="00A726E7">
        <w:rPr>
          <w:bCs/>
          <w:sz w:val="22"/>
          <w:lang w:bidi="pt-BR"/>
        </w:rPr>
        <w:t xml:space="preserve">A </w:t>
      </w:r>
      <w:r w:rsidRPr="00A726E7">
        <w:rPr>
          <w:b/>
          <w:bCs/>
          <w:sz w:val="22"/>
          <w:lang w:bidi="pt-BR"/>
        </w:rPr>
        <w:t>Perspectiva Clientes</w:t>
      </w:r>
      <w:r w:rsidRPr="00A726E7">
        <w:rPr>
          <w:bCs/>
          <w:sz w:val="22"/>
          <w:lang w:bidi="pt-BR"/>
        </w:rPr>
        <w:t xml:space="preserve"> define a forma de atuação no mercado e a intensidade que cada unidade de negócio apresenta em termos de captação e retenção de clientes. Mostra em quais segmentos estratégicos a organização precisará obter sucesso para viabilizar os objetivos.</w:t>
      </w:r>
    </w:p>
    <w:p w14:paraId="4052C31D" w14:textId="492BEBA3" w:rsidR="00FE196B" w:rsidRPr="00A726E7" w:rsidRDefault="00FE196B" w:rsidP="00FE115B">
      <w:pPr>
        <w:pStyle w:val="PargrafodaLista"/>
        <w:numPr>
          <w:ilvl w:val="0"/>
          <w:numId w:val="20"/>
        </w:numPr>
        <w:spacing w:before="120" w:line="240" w:lineRule="auto"/>
        <w:ind w:left="714" w:hanging="357"/>
        <w:contextualSpacing w:val="0"/>
        <w:rPr>
          <w:bCs/>
          <w:sz w:val="22"/>
          <w:lang w:bidi="pt-BR"/>
        </w:rPr>
      </w:pPr>
      <w:r w:rsidRPr="00A726E7">
        <w:rPr>
          <w:bCs/>
          <w:sz w:val="22"/>
          <w:lang w:bidi="pt-BR"/>
        </w:rPr>
        <w:t xml:space="preserve">A </w:t>
      </w:r>
      <w:r w:rsidRPr="00A726E7">
        <w:rPr>
          <w:b/>
          <w:bCs/>
          <w:sz w:val="22"/>
          <w:lang w:bidi="pt-BR"/>
        </w:rPr>
        <w:t>Perspectiva Governo e Sociedade</w:t>
      </w:r>
      <w:r w:rsidRPr="00A726E7">
        <w:rPr>
          <w:bCs/>
          <w:sz w:val="22"/>
          <w:lang w:bidi="pt-BR"/>
        </w:rPr>
        <w:t xml:space="preserve"> define o grau de efetividade das ações públicas orientados para o cidadão</w:t>
      </w:r>
      <w:r w:rsidR="00A726E7" w:rsidRPr="00A726E7">
        <w:rPr>
          <w:bCs/>
          <w:sz w:val="22"/>
          <w:lang w:bidi="pt-BR"/>
        </w:rPr>
        <w:t>, alinhando nossas ações às necessidades da população e contribuindo para um Brasil melhor</w:t>
      </w:r>
      <w:r w:rsidRPr="00A726E7">
        <w:rPr>
          <w:bCs/>
          <w:sz w:val="22"/>
          <w:lang w:bidi="pt-BR"/>
        </w:rPr>
        <w:t>.</w:t>
      </w:r>
    </w:p>
    <w:p w14:paraId="0F83BDF9" w14:textId="56244402" w:rsidR="00FE196B" w:rsidRPr="00A726E7" w:rsidRDefault="00FE196B" w:rsidP="00FE115B">
      <w:pPr>
        <w:pStyle w:val="PargrafodaLista"/>
        <w:numPr>
          <w:ilvl w:val="0"/>
          <w:numId w:val="20"/>
        </w:numPr>
        <w:spacing w:before="120" w:line="240" w:lineRule="auto"/>
        <w:ind w:left="714" w:hanging="357"/>
        <w:contextualSpacing w:val="0"/>
        <w:rPr>
          <w:sz w:val="22"/>
        </w:rPr>
      </w:pPr>
      <w:r w:rsidRPr="00A726E7">
        <w:rPr>
          <w:bCs/>
          <w:sz w:val="22"/>
          <w:lang w:bidi="pt-BR"/>
        </w:rPr>
        <w:t xml:space="preserve">A </w:t>
      </w:r>
      <w:r w:rsidRPr="00A726E7">
        <w:rPr>
          <w:b/>
          <w:bCs/>
          <w:sz w:val="22"/>
          <w:lang w:bidi="pt-BR"/>
        </w:rPr>
        <w:t>Perspectiva Econômico-Financeira</w:t>
      </w:r>
      <w:r w:rsidRPr="00A726E7">
        <w:rPr>
          <w:bCs/>
          <w:sz w:val="22"/>
          <w:lang w:bidi="pt-BR"/>
        </w:rPr>
        <w:t xml:space="preserve"> define a forma de atuação da Telebras na gestão econômico-financeira para a otimização do fluxo de caixa, aumento das receitas, redução dos custos e despesas e rentabilidade dos investimentos</w:t>
      </w:r>
      <w:r w:rsidR="00A726E7" w:rsidRPr="00A726E7">
        <w:rPr>
          <w:bCs/>
          <w:sz w:val="22"/>
          <w:lang w:bidi="pt-BR"/>
        </w:rPr>
        <w:t>.</w:t>
      </w:r>
    </w:p>
    <w:p w14:paraId="527EA794" w14:textId="69645700" w:rsidR="00D15744" w:rsidRPr="00337BFF" w:rsidRDefault="000978E5" w:rsidP="00A726E7">
      <w:pPr>
        <w:keepNext/>
        <w:spacing w:line="276" w:lineRule="auto"/>
        <w:jc w:val="center"/>
        <w:rPr>
          <w:highlight w:val="yellow"/>
        </w:rPr>
      </w:pPr>
      <w:r w:rsidRPr="00AE3EC3">
        <w:rPr>
          <w:noProof/>
          <w:lang w:eastAsia="pt-BR"/>
        </w:rPr>
        <w:lastRenderedPageBreak/>
        <w:drawing>
          <wp:inline distT="0" distB="0" distL="0" distR="0" wp14:anchorId="38A22368" wp14:editId="6BBAF4EC">
            <wp:extent cx="5760000" cy="8035198"/>
            <wp:effectExtent l="0" t="0" r="0" b="444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000" cy="8035198"/>
                    </a:xfrm>
                    <a:prstGeom prst="rect">
                      <a:avLst/>
                    </a:prstGeom>
                    <a:noFill/>
                  </pic:spPr>
                </pic:pic>
              </a:graphicData>
            </a:graphic>
          </wp:inline>
        </w:drawing>
      </w:r>
    </w:p>
    <w:p w14:paraId="5414430B" w14:textId="6CFB1035" w:rsidR="000978E5" w:rsidRDefault="00D15744" w:rsidP="00AE3EC3">
      <w:pPr>
        <w:pStyle w:val="Legenda"/>
        <w:spacing w:before="120"/>
        <w:rPr>
          <w:bCs w:val="0"/>
          <w:highlight w:val="yellow"/>
        </w:rPr>
        <w:sectPr w:rsidR="000978E5" w:rsidSect="00BA42AE">
          <w:headerReference w:type="even" r:id="rId26"/>
          <w:headerReference w:type="default" r:id="rId27"/>
          <w:footerReference w:type="even" r:id="rId28"/>
          <w:footerReference w:type="default" r:id="rId29"/>
          <w:headerReference w:type="first" r:id="rId30"/>
          <w:footerReference w:type="first" r:id="rId31"/>
          <w:footnotePr>
            <w:pos w:val="beneathText"/>
          </w:footnotePr>
          <w:type w:val="continuous"/>
          <w:pgSz w:w="11907" w:h="16840" w:code="9"/>
          <w:pgMar w:top="1701" w:right="1134" w:bottom="1531" w:left="1701" w:header="397" w:footer="397" w:gutter="0"/>
          <w:cols w:space="708"/>
          <w:titlePg/>
          <w:docGrid w:linePitch="360"/>
        </w:sectPr>
      </w:pPr>
      <w:r w:rsidRPr="00A726E7">
        <w:t xml:space="preserve">Figura </w:t>
      </w:r>
      <w:r w:rsidR="006F713F">
        <w:fldChar w:fldCharType="begin"/>
      </w:r>
      <w:r w:rsidR="006F713F">
        <w:instrText xml:space="preserve"> STYLEREF 1 \s </w:instrText>
      </w:r>
      <w:r w:rsidR="006F713F">
        <w:fldChar w:fldCharType="separate"/>
      </w:r>
      <w:r w:rsidR="009B5930">
        <w:rPr>
          <w:noProof/>
        </w:rPr>
        <w:t>5</w:t>
      </w:r>
      <w:r w:rsidR="006F713F">
        <w:rPr>
          <w:noProof/>
        </w:rPr>
        <w:fldChar w:fldCharType="end"/>
      </w:r>
      <w:r w:rsidR="006C4424" w:rsidRPr="00A726E7">
        <w:noBreakHyphen/>
      </w:r>
      <w:r w:rsidR="00776B29" w:rsidRPr="00A726E7">
        <w:t>1</w:t>
      </w:r>
      <w:r w:rsidRPr="00A726E7">
        <w:t xml:space="preserve"> Mapa Estratégico</w:t>
      </w:r>
      <w:r w:rsidR="00A726E7" w:rsidRPr="00A726E7">
        <w:t xml:space="preserve"> 2024 a 2028</w:t>
      </w:r>
    </w:p>
    <w:p w14:paraId="78F526D1" w14:textId="3FD103B7" w:rsidR="00FE115B" w:rsidRPr="00337BFF" w:rsidRDefault="00814CCF" w:rsidP="00FE115B">
      <w:pPr>
        <w:tabs>
          <w:tab w:val="clear" w:pos="851"/>
        </w:tabs>
        <w:spacing w:before="120" w:line="240" w:lineRule="auto"/>
        <w:rPr>
          <w:highlight w:val="yellow"/>
        </w:rPr>
      </w:pPr>
      <w:r w:rsidRPr="00AE3EC3">
        <w:rPr>
          <w:b/>
        </w:rPr>
        <w:lastRenderedPageBreak/>
        <w:tab/>
      </w:r>
      <w:r w:rsidR="00FE115B" w:rsidRPr="00AE3EC3">
        <w:rPr>
          <w:b/>
        </w:rPr>
        <w:t>Painel de</w:t>
      </w:r>
      <w:r w:rsidR="00FE115B" w:rsidRPr="00AE3EC3">
        <w:t xml:space="preserve"> </w:t>
      </w:r>
      <w:r w:rsidR="00FE115B" w:rsidRPr="00AE3EC3">
        <w:rPr>
          <w:b/>
          <w:bCs/>
          <w:sz w:val="22"/>
          <w:lang w:bidi="pt-BR"/>
        </w:rPr>
        <w:t xml:space="preserve">Gestão: </w:t>
      </w:r>
      <w:r w:rsidR="000978E5" w:rsidRPr="00AE3EC3">
        <w:rPr>
          <w:bCs/>
          <w:sz w:val="22"/>
          <w:lang w:bidi="pt-BR"/>
        </w:rPr>
        <w:t>refere-se a</w:t>
      </w:r>
      <w:r w:rsidR="00FE115B" w:rsidRPr="00AE3EC3">
        <w:rPr>
          <w:bCs/>
          <w:sz w:val="22"/>
          <w:lang w:bidi="pt-BR"/>
        </w:rPr>
        <w:t xml:space="preserve">o conjunto de indicadores que </w:t>
      </w:r>
      <w:r w:rsidR="002E6B58" w:rsidRPr="00AE3EC3">
        <w:rPr>
          <w:bCs/>
          <w:sz w:val="22"/>
          <w:lang w:bidi="pt-BR"/>
        </w:rPr>
        <w:t xml:space="preserve">quantificam </w:t>
      </w:r>
      <w:r w:rsidR="00FE115B" w:rsidRPr="00AE3EC3">
        <w:rPr>
          <w:bCs/>
          <w:sz w:val="22"/>
          <w:lang w:bidi="pt-BR"/>
        </w:rPr>
        <w:t xml:space="preserve">os objetivos estratégicos. </w:t>
      </w:r>
      <w:r w:rsidR="002E6B58" w:rsidRPr="00AE3EC3">
        <w:rPr>
          <w:bCs/>
          <w:sz w:val="22"/>
          <w:lang w:bidi="pt-BR"/>
        </w:rPr>
        <w:t>Apresentamos a seguir o</w:t>
      </w:r>
      <w:r w:rsidR="00FE115B" w:rsidRPr="00AE3EC3">
        <w:rPr>
          <w:bCs/>
          <w:sz w:val="22"/>
          <w:lang w:bidi="pt-BR"/>
        </w:rPr>
        <w:t xml:space="preserve"> Painel de Gestão da Telebras para o </w:t>
      </w:r>
      <w:r w:rsidR="002E6B58" w:rsidRPr="00AE3EC3">
        <w:rPr>
          <w:bCs/>
          <w:sz w:val="22"/>
          <w:lang w:bidi="pt-BR"/>
        </w:rPr>
        <w:t xml:space="preserve">período de 2024 </w:t>
      </w:r>
      <w:r w:rsidR="00FE115B" w:rsidRPr="00AE3EC3">
        <w:rPr>
          <w:bCs/>
          <w:sz w:val="22"/>
          <w:lang w:bidi="pt-BR"/>
        </w:rPr>
        <w:t xml:space="preserve">a </w:t>
      </w:r>
      <w:r w:rsidR="002E6B58" w:rsidRPr="00AE3EC3">
        <w:rPr>
          <w:bCs/>
          <w:sz w:val="22"/>
          <w:lang w:bidi="pt-BR"/>
        </w:rPr>
        <w:t>2028</w:t>
      </w:r>
      <w:r w:rsidR="00FE115B" w:rsidRPr="00AE3EC3">
        <w:rPr>
          <w:bCs/>
          <w:sz w:val="22"/>
          <w:lang w:bidi="pt-BR"/>
        </w:rPr>
        <w:t>:</w:t>
      </w:r>
    </w:p>
    <w:p w14:paraId="2FA44934" w14:textId="514F0B8D" w:rsidR="00FE115B" w:rsidRPr="00AE3EC3" w:rsidRDefault="000978E5" w:rsidP="00AE3EC3">
      <w:pPr>
        <w:tabs>
          <w:tab w:val="clear" w:pos="851"/>
        </w:tabs>
        <w:spacing w:before="120" w:line="240" w:lineRule="auto"/>
        <w:jc w:val="center"/>
      </w:pPr>
      <w:r w:rsidRPr="00AE3EC3">
        <w:rPr>
          <w:noProof/>
          <w:lang w:eastAsia="pt-BR"/>
        </w:rPr>
        <w:drawing>
          <wp:inline distT="0" distB="0" distL="0" distR="0" wp14:anchorId="21B35529" wp14:editId="4178EDE8">
            <wp:extent cx="8410575" cy="4051810"/>
            <wp:effectExtent l="0" t="0" r="0" b="635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437605" cy="4064832"/>
                    </a:xfrm>
                    <a:prstGeom prst="rect">
                      <a:avLst/>
                    </a:prstGeom>
                    <a:noFill/>
                    <a:ln>
                      <a:noFill/>
                    </a:ln>
                  </pic:spPr>
                </pic:pic>
              </a:graphicData>
            </a:graphic>
          </wp:inline>
        </w:drawing>
      </w:r>
      <w:r w:rsidRPr="00AE3EC3">
        <w:t xml:space="preserve"> </w:t>
      </w:r>
    </w:p>
    <w:p w14:paraId="5BE87B20" w14:textId="6647BBAA" w:rsidR="000978E5" w:rsidRPr="00AE3EC3" w:rsidRDefault="00CD5F0A" w:rsidP="00CD5F0A">
      <w:pPr>
        <w:pStyle w:val="Legenda"/>
        <w:sectPr w:rsidR="000978E5" w:rsidRPr="00AE3EC3" w:rsidSect="000978E5">
          <w:footnotePr>
            <w:pos w:val="beneathText"/>
          </w:footnotePr>
          <w:pgSz w:w="16840" w:h="11907" w:orient="landscape" w:code="9"/>
          <w:pgMar w:top="1701" w:right="1701" w:bottom="1134" w:left="1531" w:header="397" w:footer="397" w:gutter="0"/>
          <w:cols w:space="708"/>
          <w:titlePg/>
          <w:docGrid w:linePitch="360"/>
        </w:sectPr>
      </w:pPr>
      <w:r w:rsidRPr="00AE3EC3">
        <w:t xml:space="preserve">Tabela </w:t>
      </w:r>
      <w:r w:rsidR="006F713F">
        <w:fldChar w:fldCharType="begin"/>
      </w:r>
      <w:r w:rsidR="006F713F">
        <w:instrText xml:space="preserve"> STYLEREF 1 \s </w:instrText>
      </w:r>
      <w:r w:rsidR="006F713F">
        <w:fldChar w:fldCharType="separate"/>
      </w:r>
      <w:r w:rsidR="009B5930">
        <w:rPr>
          <w:noProof/>
        </w:rPr>
        <w:t>5</w:t>
      </w:r>
      <w:r w:rsidR="006F713F">
        <w:rPr>
          <w:noProof/>
        </w:rPr>
        <w:fldChar w:fldCharType="end"/>
      </w:r>
      <w:r w:rsidR="000E20B4" w:rsidRPr="00AE3EC3">
        <w:noBreakHyphen/>
      </w:r>
      <w:r w:rsidR="00FE115B" w:rsidRPr="00AE3EC3">
        <w:t>2</w:t>
      </w:r>
      <w:r w:rsidRPr="00AE3EC3">
        <w:t xml:space="preserve"> </w:t>
      </w:r>
      <w:r w:rsidR="00FE115B" w:rsidRPr="00AE3EC3">
        <w:t xml:space="preserve">Painel de </w:t>
      </w:r>
      <w:r w:rsidR="00322A4E" w:rsidRPr="00AE3EC3">
        <w:t xml:space="preserve">Indicadores Estratégicos 2024 </w:t>
      </w:r>
      <w:r w:rsidR="00FE115B" w:rsidRPr="00AE3EC3">
        <w:t xml:space="preserve">a </w:t>
      </w:r>
      <w:r w:rsidR="00322A4E" w:rsidRPr="00AE3EC3">
        <w:t>2028</w:t>
      </w:r>
    </w:p>
    <w:p w14:paraId="112EB13B" w14:textId="06DF3A0A" w:rsidR="00E71CE3" w:rsidRPr="00AE3EC3" w:rsidRDefault="006551B6" w:rsidP="00AE3EC3">
      <w:pPr>
        <w:spacing w:line="240" w:lineRule="auto"/>
        <w:rPr>
          <w:szCs w:val="26"/>
        </w:rPr>
      </w:pPr>
      <w:r w:rsidRPr="00AE3EC3">
        <w:rPr>
          <w:bCs/>
          <w:sz w:val="22"/>
          <w:lang w:bidi="pt-BR"/>
        </w:rPr>
        <w:lastRenderedPageBreak/>
        <w:t xml:space="preserve">O desempenho estratégico é </w:t>
      </w:r>
      <w:r w:rsidR="002E6B58" w:rsidRPr="00AE3EC3">
        <w:rPr>
          <w:bCs/>
          <w:sz w:val="22"/>
          <w:lang w:bidi="pt-BR"/>
        </w:rPr>
        <w:t xml:space="preserve">monitorado por meio da análise dos </w:t>
      </w:r>
      <w:r w:rsidRPr="00AE3EC3">
        <w:rPr>
          <w:bCs/>
          <w:sz w:val="22"/>
          <w:lang w:bidi="pt-BR"/>
        </w:rPr>
        <w:t>resultado</w:t>
      </w:r>
      <w:r w:rsidR="002E6B58" w:rsidRPr="00AE3EC3">
        <w:rPr>
          <w:bCs/>
          <w:sz w:val="22"/>
          <w:lang w:bidi="pt-BR"/>
        </w:rPr>
        <w:t>s</w:t>
      </w:r>
      <w:r w:rsidRPr="00AE3EC3">
        <w:rPr>
          <w:bCs/>
          <w:sz w:val="22"/>
          <w:lang w:bidi="pt-BR"/>
        </w:rPr>
        <w:t xml:space="preserve"> da execução da estratégia</w:t>
      </w:r>
      <w:r w:rsidR="002E6B58" w:rsidRPr="00AE3EC3">
        <w:rPr>
          <w:bCs/>
          <w:sz w:val="22"/>
          <w:lang w:bidi="pt-BR"/>
        </w:rPr>
        <w:t xml:space="preserve">, os quais são refletidos </w:t>
      </w:r>
      <w:r w:rsidRPr="00AE3EC3">
        <w:rPr>
          <w:bCs/>
          <w:sz w:val="22"/>
          <w:lang w:bidi="pt-BR"/>
        </w:rPr>
        <w:t>nos indicadores estratégicos</w:t>
      </w:r>
      <w:r w:rsidR="002E6B58" w:rsidRPr="00AE3EC3">
        <w:rPr>
          <w:bCs/>
          <w:sz w:val="22"/>
          <w:lang w:bidi="pt-BR"/>
        </w:rPr>
        <w:t xml:space="preserve">. Esses indicadores </w:t>
      </w:r>
      <w:r w:rsidRPr="00AE3EC3">
        <w:rPr>
          <w:bCs/>
          <w:sz w:val="22"/>
          <w:lang w:bidi="pt-BR"/>
        </w:rPr>
        <w:t xml:space="preserve">fornecem informações </w:t>
      </w:r>
      <w:r w:rsidR="002E6B58" w:rsidRPr="00AE3EC3">
        <w:rPr>
          <w:bCs/>
          <w:sz w:val="22"/>
          <w:lang w:bidi="pt-BR"/>
        </w:rPr>
        <w:t xml:space="preserve">cruciais para </w:t>
      </w:r>
      <w:r w:rsidRPr="00AE3EC3">
        <w:rPr>
          <w:bCs/>
          <w:sz w:val="22"/>
          <w:lang w:bidi="pt-BR"/>
        </w:rPr>
        <w:t xml:space="preserve">avaliar o </w:t>
      </w:r>
      <w:r w:rsidR="002E6B58" w:rsidRPr="00AE3EC3">
        <w:rPr>
          <w:bCs/>
          <w:sz w:val="22"/>
          <w:lang w:bidi="pt-BR"/>
        </w:rPr>
        <w:t>progresso em direção à</w:t>
      </w:r>
      <w:r w:rsidRPr="00AE3EC3">
        <w:rPr>
          <w:bCs/>
          <w:sz w:val="22"/>
          <w:lang w:bidi="pt-BR"/>
        </w:rPr>
        <w:t xml:space="preserve">s metas </w:t>
      </w:r>
      <w:r w:rsidR="002E6B58" w:rsidRPr="00AE3EC3">
        <w:rPr>
          <w:bCs/>
          <w:sz w:val="22"/>
          <w:lang w:bidi="pt-BR"/>
        </w:rPr>
        <w:t xml:space="preserve">estabelecidas </w:t>
      </w:r>
      <w:r w:rsidRPr="00AE3EC3">
        <w:rPr>
          <w:bCs/>
          <w:sz w:val="22"/>
          <w:lang w:bidi="pt-BR"/>
        </w:rPr>
        <w:t xml:space="preserve">e </w:t>
      </w:r>
      <w:r w:rsidR="002E6B58" w:rsidRPr="00AE3EC3">
        <w:rPr>
          <w:bCs/>
          <w:sz w:val="22"/>
          <w:lang w:bidi="pt-BR"/>
        </w:rPr>
        <w:t xml:space="preserve">identificar </w:t>
      </w:r>
      <w:r w:rsidRPr="00AE3EC3">
        <w:rPr>
          <w:bCs/>
          <w:sz w:val="22"/>
          <w:lang w:bidi="pt-BR"/>
        </w:rPr>
        <w:t xml:space="preserve">a necessidade de </w:t>
      </w:r>
      <w:r w:rsidR="002E6B58" w:rsidRPr="00AE3EC3">
        <w:rPr>
          <w:bCs/>
          <w:sz w:val="22"/>
          <w:lang w:bidi="pt-BR"/>
        </w:rPr>
        <w:t xml:space="preserve">implementar </w:t>
      </w:r>
      <w:r w:rsidRPr="00AE3EC3">
        <w:rPr>
          <w:bCs/>
          <w:sz w:val="22"/>
          <w:lang w:bidi="pt-BR"/>
        </w:rPr>
        <w:t>ações corretivas</w:t>
      </w:r>
      <w:r w:rsidR="002E6B58" w:rsidRPr="00AE3EC3">
        <w:rPr>
          <w:bCs/>
          <w:sz w:val="22"/>
          <w:lang w:bidi="pt-BR"/>
        </w:rPr>
        <w:t xml:space="preserve">, </w:t>
      </w:r>
      <w:r w:rsidR="002E6B58" w:rsidRPr="00AE3EC3">
        <w:rPr>
          <w:bCs/>
          <w:sz w:val="22"/>
          <w:lang w:bidi="pt-BR"/>
        </w:rPr>
        <w:tab/>
      </w:r>
      <w:r w:rsidR="002E6B58" w:rsidRPr="002E6B58">
        <w:rPr>
          <w:sz w:val="22"/>
          <w:lang w:bidi="pt-BR"/>
        </w:rPr>
        <w:t>quando</w:t>
      </w:r>
      <w:r w:rsidR="002E6B58" w:rsidRPr="00AE3EC3">
        <w:rPr>
          <w:bCs/>
          <w:sz w:val="22"/>
          <w:lang w:bidi="pt-BR"/>
        </w:rPr>
        <w:t xml:space="preserve"> necessário</w:t>
      </w:r>
      <w:r w:rsidRPr="00AE3EC3">
        <w:rPr>
          <w:bCs/>
          <w:sz w:val="22"/>
          <w:lang w:bidi="pt-BR"/>
        </w:rPr>
        <w:t>.</w:t>
      </w:r>
      <w:bookmarkStart w:id="116" w:name="_Toc95122849"/>
      <w:bookmarkStart w:id="117" w:name="_Toc95154925"/>
      <w:bookmarkStart w:id="118" w:name="_Toc95160598"/>
      <w:bookmarkStart w:id="119" w:name="_Toc95160657"/>
      <w:bookmarkStart w:id="120" w:name="_Toc95160716"/>
      <w:bookmarkStart w:id="121" w:name="_Toc95160775"/>
      <w:bookmarkStart w:id="122" w:name="_Toc95160834"/>
      <w:bookmarkStart w:id="123" w:name="_Toc95161122"/>
      <w:bookmarkStart w:id="124" w:name="_Toc95161341"/>
      <w:bookmarkStart w:id="125" w:name="_Toc95161441"/>
      <w:bookmarkStart w:id="126" w:name="_Toc95205579"/>
      <w:bookmarkStart w:id="127" w:name="_Toc95207172"/>
      <w:bookmarkStart w:id="128" w:name="_Toc95397107"/>
      <w:bookmarkStart w:id="129" w:name="_Toc95922473"/>
      <w:bookmarkStart w:id="130" w:name="_Toc97281012"/>
      <w:bookmarkStart w:id="131" w:name="_Toc97281072"/>
      <w:bookmarkStart w:id="132" w:name="_Toc97647161"/>
      <w:bookmarkStart w:id="133" w:name="_Toc97647221"/>
      <w:bookmarkStart w:id="134" w:name="_Toc97647281"/>
      <w:bookmarkStart w:id="135" w:name="_Toc97647550"/>
      <w:bookmarkStart w:id="136" w:name="_Toc97647610"/>
      <w:bookmarkStart w:id="137" w:name="_Toc97647670"/>
      <w:bookmarkStart w:id="138" w:name="_Toc97647730"/>
      <w:bookmarkStart w:id="139" w:name="_Toc98433173"/>
      <w:bookmarkStart w:id="140" w:name="_Toc98433239"/>
      <w:bookmarkStart w:id="141" w:name="_Toc98433299"/>
      <w:bookmarkStart w:id="142" w:name="_Toc98433359"/>
      <w:bookmarkStart w:id="143" w:name="_Toc126941669"/>
      <w:bookmarkStart w:id="144" w:name="_Toc126942734"/>
      <w:bookmarkStart w:id="145" w:name="_Toc126943960"/>
      <w:bookmarkStart w:id="146" w:name="_Toc126945802"/>
      <w:bookmarkStart w:id="147" w:name="_Toc127550249"/>
      <w:bookmarkStart w:id="148" w:name="_Toc128043946"/>
      <w:bookmarkStart w:id="149" w:name="_Toc129609294"/>
      <w:bookmarkStart w:id="150" w:name="_Toc129609357"/>
      <w:bookmarkStart w:id="151" w:name="_Toc129609422"/>
      <w:bookmarkStart w:id="152" w:name="_Toc95122850"/>
      <w:bookmarkStart w:id="153" w:name="_Toc95154926"/>
      <w:bookmarkStart w:id="154" w:name="_Toc95160599"/>
      <w:bookmarkStart w:id="155" w:name="_Toc95160658"/>
      <w:bookmarkStart w:id="156" w:name="_Toc95160717"/>
      <w:bookmarkStart w:id="157" w:name="_Toc95160776"/>
      <w:bookmarkStart w:id="158" w:name="_Toc95160835"/>
      <w:bookmarkStart w:id="159" w:name="_Toc95161123"/>
      <w:bookmarkStart w:id="160" w:name="_Toc95161342"/>
      <w:bookmarkStart w:id="161" w:name="_Toc95161442"/>
      <w:bookmarkStart w:id="162" w:name="_Toc95205580"/>
      <w:bookmarkStart w:id="163" w:name="_Toc95207173"/>
      <w:bookmarkStart w:id="164" w:name="_Toc95397108"/>
      <w:bookmarkStart w:id="165" w:name="_Toc95922474"/>
      <w:bookmarkStart w:id="166" w:name="_Toc97281013"/>
      <w:bookmarkStart w:id="167" w:name="_Toc97281073"/>
      <w:bookmarkStart w:id="168" w:name="_Toc97647162"/>
      <w:bookmarkStart w:id="169" w:name="_Toc97647222"/>
      <w:bookmarkStart w:id="170" w:name="_Toc97647282"/>
      <w:bookmarkStart w:id="171" w:name="_Toc97647551"/>
      <w:bookmarkStart w:id="172" w:name="_Toc97647611"/>
      <w:bookmarkStart w:id="173" w:name="_Toc97647671"/>
      <w:bookmarkStart w:id="174" w:name="_Toc97647731"/>
      <w:bookmarkStart w:id="175" w:name="_Toc98433174"/>
      <w:bookmarkStart w:id="176" w:name="_Toc98433240"/>
      <w:bookmarkStart w:id="177" w:name="_Toc98433300"/>
      <w:bookmarkStart w:id="178" w:name="_Toc98433360"/>
      <w:bookmarkStart w:id="179" w:name="_Toc126941670"/>
      <w:bookmarkStart w:id="180" w:name="_Toc126942735"/>
      <w:bookmarkStart w:id="181" w:name="_Toc126943961"/>
      <w:bookmarkStart w:id="182" w:name="_Toc126945803"/>
      <w:bookmarkStart w:id="183" w:name="_Toc127550250"/>
      <w:bookmarkStart w:id="184" w:name="_Toc128043947"/>
      <w:bookmarkStart w:id="185" w:name="_Toc129609295"/>
      <w:bookmarkStart w:id="186" w:name="_Toc129609358"/>
      <w:bookmarkStart w:id="187" w:name="_Toc129609423"/>
      <w:bookmarkStart w:id="188" w:name="_Toc95122851"/>
      <w:bookmarkStart w:id="189" w:name="_Toc95154927"/>
      <w:bookmarkStart w:id="190" w:name="_Toc95160600"/>
      <w:bookmarkStart w:id="191" w:name="_Toc95160659"/>
      <w:bookmarkStart w:id="192" w:name="_Toc95160718"/>
      <w:bookmarkStart w:id="193" w:name="_Toc95160777"/>
      <w:bookmarkStart w:id="194" w:name="_Toc95160836"/>
      <w:bookmarkStart w:id="195" w:name="_Toc95161124"/>
      <w:bookmarkStart w:id="196" w:name="_Toc95161343"/>
      <w:bookmarkStart w:id="197" w:name="_Toc95161443"/>
      <w:bookmarkStart w:id="198" w:name="_Toc95205581"/>
      <w:bookmarkStart w:id="199" w:name="_Toc95207174"/>
      <w:bookmarkStart w:id="200" w:name="_Toc95397109"/>
      <w:bookmarkStart w:id="201" w:name="_Toc95922475"/>
      <w:bookmarkStart w:id="202" w:name="_Toc97281014"/>
      <w:bookmarkStart w:id="203" w:name="_Toc97281074"/>
      <w:bookmarkStart w:id="204" w:name="_Toc97647163"/>
      <w:bookmarkStart w:id="205" w:name="_Toc97647223"/>
      <w:bookmarkStart w:id="206" w:name="_Toc97647283"/>
      <w:bookmarkStart w:id="207" w:name="_Toc97647552"/>
      <w:bookmarkStart w:id="208" w:name="_Toc97647612"/>
      <w:bookmarkStart w:id="209" w:name="_Toc97647672"/>
      <w:bookmarkStart w:id="210" w:name="_Toc97647732"/>
      <w:bookmarkStart w:id="211" w:name="_Toc98433175"/>
      <w:bookmarkStart w:id="212" w:name="_Toc98433241"/>
      <w:bookmarkStart w:id="213" w:name="_Toc98433301"/>
      <w:bookmarkStart w:id="214" w:name="_Toc98433361"/>
      <w:bookmarkStart w:id="215" w:name="_Toc126941671"/>
      <w:bookmarkStart w:id="216" w:name="_Toc126942736"/>
      <w:bookmarkStart w:id="217" w:name="_Toc126943962"/>
      <w:bookmarkStart w:id="218" w:name="_Toc126945804"/>
      <w:bookmarkStart w:id="219" w:name="_Toc127550251"/>
      <w:bookmarkStart w:id="220" w:name="_Toc128043948"/>
      <w:bookmarkStart w:id="221" w:name="_Toc129609296"/>
      <w:bookmarkStart w:id="222" w:name="_Toc129609359"/>
      <w:bookmarkStart w:id="223" w:name="_Toc129609424"/>
      <w:bookmarkStart w:id="224" w:name="_Toc95122852"/>
      <w:bookmarkStart w:id="225" w:name="_Toc95154928"/>
      <w:bookmarkStart w:id="226" w:name="_Toc95160601"/>
      <w:bookmarkStart w:id="227" w:name="_Toc95160660"/>
      <w:bookmarkStart w:id="228" w:name="_Toc95160719"/>
      <w:bookmarkStart w:id="229" w:name="_Toc95160778"/>
      <w:bookmarkStart w:id="230" w:name="_Toc95160837"/>
      <w:bookmarkStart w:id="231" w:name="_Toc95161125"/>
      <w:bookmarkStart w:id="232" w:name="_Toc95161344"/>
      <w:bookmarkStart w:id="233" w:name="_Toc95161444"/>
      <w:bookmarkStart w:id="234" w:name="_Toc95205582"/>
      <w:bookmarkStart w:id="235" w:name="_Toc95207175"/>
      <w:bookmarkStart w:id="236" w:name="_Toc95397110"/>
      <w:bookmarkStart w:id="237" w:name="_Toc95922476"/>
      <w:bookmarkStart w:id="238" w:name="_Toc97281015"/>
      <w:bookmarkStart w:id="239" w:name="_Toc97281075"/>
      <w:bookmarkStart w:id="240" w:name="_Toc97647164"/>
      <w:bookmarkStart w:id="241" w:name="_Toc97647224"/>
      <w:bookmarkStart w:id="242" w:name="_Toc97647284"/>
      <w:bookmarkStart w:id="243" w:name="_Toc97647553"/>
      <w:bookmarkStart w:id="244" w:name="_Toc97647613"/>
      <w:bookmarkStart w:id="245" w:name="_Toc97647673"/>
      <w:bookmarkStart w:id="246" w:name="_Toc97647733"/>
      <w:bookmarkStart w:id="247" w:name="_Toc98433176"/>
      <w:bookmarkStart w:id="248" w:name="_Toc98433242"/>
      <w:bookmarkStart w:id="249" w:name="_Toc98433302"/>
      <w:bookmarkStart w:id="250" w:name="_Toc98433362"/>
      <w:bookmarkStart w:id="251" w:name="_Toc126941672"/>
      <w:bookmarkStart w:id="252" w:name="_Toc126942737"/>
      <w:bookmarkStart w:id="253" w:name="_Toc126943963"/>
      <w:bookmarkStart w:id="254" w:name="_Toc126945805"/>
      <w:bookmarkStart w:id="255" w:name="_Toc127550252"/>
      <w:bookmarkStart w:id="256" w:name="_Toc128043949"/>
      <w:bookmarkStart w:id="257" w:name="_Toc129609297"/>
      <w:bookmarkStart w:id="258" w:name="_Toc129609360"/>
      <w:bookmarkStart w:id="259" w:name="_Toc129609425"/>
      <w:bookmarkStart w:id="260" w:name="_Toc95122853"/>
      <w:bookmarkStart w:id="261" w:name="_Toc95154929"/>
      <w:bookmarkStart w:id="262" w:name="_Toc95160602"/>
      <w:bookmarkStart w:id="263" w:name="_Toc95160661"/>
      <w:bookmarkStart w:id="264" w:name="_Toc95160720"/>
      <w:bookmarkStart w:id="265" w:name="_Toc95160779"/>
      <w:bookmarkStart w:id="266" w:name="_Toc95160838"/>
      <w:bookmarkStart w:id="267" w:name="_Toc95161126"/>
      <w:bookmarkStart w:id="268" w:name="_Toc95161345"/>
      <w:bookmarkStart w:id="269" w:name="_Toc95161445"/>
      <w:bookmarkStart w:id="270" w:name="_Toc95205583"/>
      <w:bookmarkStart w:id="271" w:name="_Toc95207176"/>
      <w:bookmarkStart w:id="272" w:name="_Toc95397111"/>
      <w:bookmarkStart w:id="273" w:name="_Toc95922477"/>
      <w:bookmarkStart w:id="274" w:name="_Toc97281016"/>
      <w:bookmarkStart w:id="275" w:name="_Toc97281076"/>
      <w:bookmarkStart w:id="276" w:name="_Toc97647165"/>
      <w:bookmarkStart w:id="277" w:name="_Toc97647225"/>
      <w:bookmarkStart w:id="278" w:name="_Toc97647285"/>
      <w:bookmarkStart w:id="279" w:name="_Toc97647554"/>
      <w:bookmarkStart w:id="280" w:name="_Toc97647614"/>
      <w:bookmarkStart w:id="281" w:name="_Toc97647674"/>
      <w:bookmarkStart w:id="282" w:name="_Toc97647734"/>
      <w:bookmarkStart w:id="283" w:name="_Toc98433177"/>
      <w:bookmarkStart w:id="284" w:name="_Toc98433243"/>
      <w:bookmarkStart w:id="285" w:name="_Toc98433303"/>
      <w:bookmarkStart w:id="286" w:name="_Toc98433363"/>
      <w:bookmarkStart w:id="287" w:name="_Toc126941673"/>
      <w:bookmarkStart w:id="288" w:name="_Toc126942738"/>
      <w:bookmarkStart w:id="289" w:name="_Toc126943964"/>
      <w:bookmarkStart w:id="290" w:name="_Toc126945806"/>
      <w:bookmarkStart w:id="291" w:name="_Toc127550253"/>
      <w:bookmarkStart w:id="292" w:name="_Toc128043950"/>
      <w:bookmarkStart w:id="293" w:name="_Toc129609298"/>
      <w:bookmarkStart w:id="294" w:name="_Toc129609361"/>
      <w:bookmarkStart w:id="295" w:name="_Toc129609426"/>
      <w:bookmarkStart w:id="296" w:name="_Toc95122854"/>
      <w:bookmarkStart w:id="297" w:name="_Toc95154930"/>
      <w:bookmarkStart w:id="298" w:name="_Toc95160603"/>
      <w:bookmarkStart w:id="299" w:name="_Toc95160662"/>
      <w:bookmarkStart w:id="300" w:name="_Toc95160721"/>
      <w:bookmarkStart w:id="301" w:name="_Toc95160780"/>
      <w:bookmarkStart w:id="302" w:name="_Toc95160839"/>
      <w:bookmarkStart w:id="303" w:name="_Toc95161127"/>
      <w:bookmarkStart w:id="304" w:name="_Toc95161346"/>
      <w:bookmarkStart w:id="305" w:name="_Toc95161446"/>
      <w:bookmarkStart w:id="306" w:name="_Toc95205584"/>
      <w:bookmarkStart w:id="307" w:name="_Toc95207177"/>
      <w:bookmarkStart w:id="308" w:name="_Toc95397112"/>
      <w:bookmarkStart w:id="309" w:name="_Toc95922478"/>
      <w:bookmarkStart w:id="310" w:name="_Toc97281017"/>
      <w:bookmarkStart w:id="311" w:name="_Toc97281077"/>
      <w:bookmarkStart w:id="312" w:name="_Toc97647166"/>
      <w:bookmarkStart w:id="313" w:name="_Toc97647226"/>
      <w:bookmarkStart w:id="314" w:name="_Toc97647286"/>
      <w:bookmarkStart w:id="315" w:name="_Toc97647555"/>
      <w:bookmarkStart w:id="316" w:name="_Toc97647615"/>
      <w:bookmarkStart w:id="317" w:name="_Toc97647675"/>
      <w:bookmarkStart w:id="318" w:name="_Toc97647735"/>
      <w:bookmarkStart w:id="319" w:name="_Toc98433178"/>
      <w:bookmarkStart w:id="320" w:name="_Toc98433244"/>
      <w:bookmarkStart w:id="321" w:name="_Toc98433304"/>
      <w:bookmarkStart w:id="322" w:name="_Toc98433364"/>
      <w:bookmarkStart w:id="323" w:name="_Toc126941674"/>
      <w:bookmarkStart w:id="324" w:name="_Toc126942739"/>
      <w:bookmarkStart w:id="325" w:name="_Toc126943965"/>
      <w:bookmarkStart w:id="326" w:name="_Toc126945807"/>
      <w:bookmarkStart w:id="327" w:name="_Toc127550254"/>
      <w:bookmarkStart w:id="328" w:name="_Toc128043951"/>
      <w:bookmarkStart w:id="329" w:name="_Toc129609299"/>
      <w:bookmarkStart w:id="330" w:name="_Toc129609362"/>
      <w:bookmarkStart w:id="331" w:name="_Toc129609427"/>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38D982A4" w14:textId="2F2DB0D5" w:rsidR="004E7139" w:rsidRPr="00866C85" w:rsidRDefault="00FF6861" w:rsidP="00AE3EC3">
      <w:pPr>
        <w:pStyle w:val="Ttulo3"/>
        <w:spacing w:after="120"/>
        <w:ind w:left="709" w:hanging="709"/>
      </w:pPr>
      <w:bookmarkStart w:id="332" w:name="_Toc161319454"/>
      <w:r w:rsidRPr="00866C85">
        <w:t>Gestão de Processos</w:t>
      </w:r>
      <w:bookmarkEnd w:id="332"/>
    </w:p>
    <w:p w14:paraId="668B3A08" w14:textId="0D4D94F5" w:rsidR="00866C85" w:rsidRDefault="00866C85" w:rsidP="00303685">
      <w:pPr>
        <w:widowControl w:val="0"/>
        <w:suppressAutoHyphens/>
        <w:spacing w:before="120" w:line="240" w:lineRule="auto"/>
        <w:rPr>
          <w:bCs/>
          <w:sz w:val="22"/>
          <w:lang w:bidi="pt-BR"/>
        </w:rPr>
      </w:pPr>
      <w:r>
        <w:rPr>
          <w:bCs/>
          <w:sz w:val="22"/>
          <w:lang w:bidi="pt-BR"/>
        </w:rPr>
        <w:t>Em</w:t>
      </w:r>
      <w:r w:rsidRPr="00866C85">
        <w:rPr>
          <w:bCs/>
          <w:sz w:val="22"/>
          <w:lang w:bidi="pt-BR"/>
        </w:rPr>
        <w:t xml:space="preserve"> 2023</w:t>
      </w:r>
      <w:r w:rsidR="00303685" w:rsidRPr="00866C85">
        <w:rPr>
          <w:bCs/>
          <w:sz w:val="22"/>
          <w:lang w:bidi="pt-BR"/>
        </w:rPr>
        <w:t xml:space="preserve">, </w:t>
      </w:r>
      <w:r>
        <w:rPr>
          <w:bCs/>
          <w:sz w:val="22"/>
          <w:lang w:bidi="pt-BR"/>
        </w:rPr>
        <w:t xml:space="preserve">a Telebras </w:t>
      </w:r>
      <w:r w:rsidRPr="00866C85">
        <w:rPr>
          <w:bCs/>
          <w:sz w:val="22"/>
          <w:lang w:bidi="pt-BR"/>
        </w:rPr>
        <w:t>tem buscado meios para tornar mais efetivo o trabalho relacionado ao mapeamento e aperfeiçoamento de processos, buscando aum</w:t>
      </w:r>
      <w:r>
        <w:rPr>
          <w:bCs/>
          <w:sz w:val="22"/>
          <w:lang w:bidi="pt-BR"/>
        </w:rPr>
        <w:t>entar sua capacidade de entrega</w:t>
      </w:r>
      <w:r w:rsidRPr="00866C85">
        <w:rPr>
          <w:bCs/>
          <w:sz w:val="22"/>
          <w:lang w:bidi="pt-BR"/>
        </w:rPr>
        <w:t xml:space="preserve"> através de ações com</w:t>
      </w:r>
      <w:r>
        <w:rPr>
          <w:bCs/>
          <w:sz w:val="22"/>
          <w:lang w:bidi="pt-BR"/>
        </w:rPr>
        <w:t>o</w:t>
      </w:r>
      <w:r w:rsidRPr="00866C85">
        <w:rPr>
          <w:bCs/>
          <w:sz w:val="22"/>
          <w:lang w:bidi="pt-BR"/>
        </w:rPr>
        <w:t xml:space="preserve"> criar critérios para apoiar a alta direção na priorização das demandas de processo a serem atendidas, red</w:t>
      </w:r>
      <w:r>
        <w:rPr>
          <w:bCs/>
          <w:sz w:val="22"/>
          <w:lang w:bidi="pt-BR"/>
        </w:rPr>
        <w:t xml:space="preserve">uzindo assim as ocorrências de </w:t>
      </w:r>
      <w:r w:rsidRPr="00866C85">
        <w:rPr>
          <w:bCs/>
          <w:sz w:val="22"/>
          <w:lang w:bidi="pt-BR"/>
        </w:rPr>
        <w:t>mudanças de p</w:t>
      </w:r>
      <w:r>
        <w:rPr>
          <w:bCs/>
          <w:sz w:val="22"/>
          <w:lang w:bidi="pt-BR"/>
        </w:rPr>
        <w:t>rioridade ao longo das entregas. Além disso, buscando também atuar</w:t>
      </w:r>
      <w:r w:rsidRPr="00866C85">
        <w:rPr>
          <w:bCs/>
          <w:sz w:val="22"/>
          <w:lang w:bidi="pt-BR"/>
        </w:rPr>
        <w:t xml:space="preserve"> no formato de entrega, propondo reduzir descritivos </w:t>
      </w:r>
      <w:r>
        <w:rPr>
          <w:bCs/>
          <w:sz w:val="22"/>
          <w:lang w:bidi="pt-BR"/>
        </w:rPr>
        <w:t xml:space="preserve">e </w:t>
      </w:r>
      <w:r w:rsidRPr="00866C85">
        <w:rPr>
          <w:bCs/>
          <w:sz w:val="22"/>
          <w:lang w:bidi="pt-BR"/>
        </w:rPr>
        <w:t>focando nas</w:t>
      </w:r>
      <w:r>
        <w:rPr>
          <w:bCs/>
          <w:sz w:val="22"/>
          <w:lang w:bidi="pt-BR"/>
        </w:rPr>
        <w:t xml:space="preserve"> entregas dos fluxos desenhados. E</w:t>
      </w:r>
      <w:r w:rsidRPr="00866C85">
        <w:rPr>
          <w:bCs/>
          <w:sz w:val="22"/>
          <w:lang w:bidi="pt-BR"/>
        </w:rPr>
        <w:t>stas ações serão implementadas a partir de 2024</w:t>
      </w:r>
      <w:r>
        <w:rPr>
          <w:bCs/>
          <w:sz w:val="22"/>
          <w:lang w:bidi="pt-BR"/>
        </w:rPr>
        <w:t>.</w:t>
      </w:r>
      <w:r w:rsidR="00DB6BD3">
        <w:rPr>
          <w:bCs/>
          <w:sz w:val="22"/>
          <w:lang w:bidi="pt-BR"/>
        </w:rPr>
        <w:t xml:space="preserve"> </w:t>
      </w:r>
    </w:p>
    <w:p w14:paraId="24839524" w14:textId="1FB2587F" w:rsidR="00303685" w:rsidRDefault="00DB477C" w:rsidP="00303685">
      <w:pPr>
        <w:widowControl w:val="0"/>
        <w:suppressAutoHyphens/>
        <w:spacing w:before="120" w:line="240" w:lineRule="auto"/>
        <w:rPr>
          <w:bCs/>
          <w:sz w:val="22"/>
          <w:lang w:bidi="pt-BR"/>
        </w:rPr>
      </w:pPr>
      <w:r>
        <w:rPr>
          <w:bCs/>
          <w:sz w:val="22"/>
          <w:lang w:bidi="pt-BR"/>
        </w:rPr>
        <w:t>O</w:t>
      </w:r>
      <w:r w:rsidR="00303685" w:rsidRPr="00866C85">
        <w:rPr>
          <w:bCs/>
          <w:sz w:val="22"/>
          <w:lang w:bidi="pt-BR"/>
        </w:rPr>
        <w:t xml:space="preserve"> Portfólio de Processos da Telebras</w:t>
      </w:r>
      <w:r>
        <w:rPr>
          <w:bCs/>
          <w:sz w:val="22"/>
          <w:lang w:bidi="pt-BR"/>
        </w:rPr>
        <w:t xml:space="preserve"> atualmente</w:t>
      </w:r>
      <w:r w:rsidR="00866C85">
        <w:rPr>
          <w:bCs/>
          <w:sz w:val="22"/>
          <w:lang w:bidi="pt-BR"/>
        </w:rPr>
        <w:t xml:space="preserve"> conta com</w:t>
      </w:r>
      <w:r w:rsidR="00303685" w:rsidRPr="00866C85">
        <w:rPr>
          <w:bCs/>
          <w:sz w:val="22"/>
          <w:lang w:bidi="pt-BR"/>
        </w:rPr>
        <w:t xml:space="preserve"> 71 processos de negócio finalísticos e de apoio, que representam o conjunto de rotinas promovidas pelas diversas áreas da empresa para alcançar seus resultados. </w:t>
      </w:r>
      <w:r w:rsidR="00C90854">
        <w:rPr>
          <w:bCs/>
          <w:sz w:val="22"/>
          <w:lang w:bidi="pt-BR"/>
        </w:rPr>
        <w:t xml:space="preserve">Ao longo do ano, o escritório de </w:t>
      </w:r>
      <w:r w:rsidR="00142490">
        <w:rPr>
          <w:bCs/>
          <w:sz w:val="22"/>
          <w:lang w:bidi="pt-BR"/>
        </w:rPr>
        <w:t xml:space="preserve">processos </w:t>
      </w:r>
      <w:r w:rsidR="00C90854">
        <w:rPr>
          <w:bCs/>
          <w:sz w:val="22"/>
          <w:lang w:bidi="pt-BR"/>
        </w:rPr>
        <w:t>(E-PROC) atuou em 6 desses processos, com a conclusão de 26 processos de trabalho e 253 atividades mapeadas e descritas.</w:t>
      </w:r>
    </w:p>
    <w:p w14:paraId="5209CDDA" w14:textId="4D15FB8B" w:rsidR="00134802" w:rsidRPr="00866C85" w:rsidRDefault="00134802" w:rsidP="00303685">
      <w:pPr>
        <w:widowControl w:val="0"/>
        <w:suppressAutoHyphens/>
        <w:spacing w:before="120" w:line="240" w:lineRule="auto"/>
        <w:rPr>
          <w:bCs/>
          <w:sz w:val="22"/>
          <w:lang w:bidi="pt-BR"/>
        </w:rPr>
      </w:pPr>
      <w:r w:rsidRPr="00866C85">
        <w:rPr>
          <w:bCs/>
          <w:sz w:val="22"/>
          <w:lang w:bidi="pt-BR"/>
        </w:rPr>
        <w:t>A cadeia de valor analítica da Telebras, está representada a seguir:</w:t>
      </w:r>
    </w:p>
    <w:p w14:paraId="2300D784" w14:textId="69712B92" w:rsidR="006C4424" w:rsidRPr="00415029" w:rsidRDefault="00415029" w:rsidP="006C4424">
      <w:pPr>
        <w:keepNext/>
        <w:spacing w:line="276" w:lineRule="auto"/>
        <w:jc w:val="center"/>
      </w:pPr>
      <w:r w:rsidRPr="00415029">
        <w:rPr>
          <w:rFonts w:cstheme="minorHAnsi"/>
          <w:noProof/>
          <w:lang w:eastAsia="pt-BR"/>
        </w:rPr>
        <w:drawing>
          <wp:inline distT="0" distB="0" distL="0" distR="0" wp14:anchorId="238FF0B3" wp14:editId="5B06229F">
            <wp:extent cx="5760720" cy="2405412"/>
            <wp:effectExtent l="0" t="0" r="0" b="0"/>
            <wp:docPr id="54" name="Imagem 54" descr="Interface gráfica do usuário, Linha do temp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m 54" descr="Interface gráfica do usuário, Linha do tempo&#10;&#10;Descrição gerada automa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60720" cy="2405412"/>
                    </a:xfrm>
                    <a:prstGeom prst="rect">
                      <a:avLst/>
                    </a:prstGeom>
                    <a:noFill/>
                  </pic:spPr>
                </pic:pic>
              </a:graphicData>
            </a:graphic>
          </wp:inline>
        </w:drawing>
      </w:r>
    </w:p>
    <w:p w14:paraId="6AAFD1BC" w14:textId="73DC158F" w:rsidR="00AA4636" w:rsidRPr="00415029" w:rsidRDefault="006C4424" w:rsidP="00303685">
      <w:pPr>
        <w:pStyle w:val="Legenda"/>
        <w:spacing w:before="120"/>
        <w:rPr>
          <w:rFonts w:ascii="Calibri" w:hAnsi="Calibri"/>
        </w:rPr>
      </w:pPr>
      <w:r w:rsidRPr="00415029">
        <w:t xml:space="preserve">Figura </w:t>
      </w:r>
      <w:r w:rsidR="006F713F">
        <w:fldChar w:fldCharType="begin"/>
      </w:r>
      <w:r w:rsidR="006F713F">
        <w:instrText xml:space="preserve"> STYLEREF 1 \s </w:instrText>
      </w:r>
      <w:r w:rsidR="006F713F">
        <w:fldChar w:fldCharType="separate"/>
      </w:r>
      <w:r w:rsidR="009B5930">
        <w:rPr>
          <w:noProof/>
        </w:rPr>
        <w:t>5</w:t>
      </w:r>
      <w:r w:rsidR="006F713F">
        <w:rPr>
          <w:noProof/>
        </w:rPr>
        <w:fldChar w:fldCharType="end"/>
      </w:r>
      <w:r w:rsidRPr="00415029">
        <w:noBreakHyphen/>
      </w:r>
      <w:r w:rsidR="00303685" w:rsidRPr="00415029">
        <w:t>3</w:t>
      </w:r>
      <w:r w:rsidRPr="00415029">
        <w:t xml:space="preserve"> Cadeia de Valor Analítica</w:t>
      </w:r>
    </w:p>
    <w:p w14:paraId="7AACA341" w14:textId="667182B4" w:rsidR="00866C85" w:rsidRPr="00FE6951" w:rsidRDefault="00AA1B34" w:rsidP="00134802">
      <w:pPr>
        <w:pStyle w:val="Ttulo3"/>
        <w:spacing w:after="120"/>
        <w:ind w:left="709" w:hanging="709"/>
      </w:pPr>
      <w:bookmarkStart w:id="333" w:name="_Toc161319455"/>
      <w:r w:rsidRPr="00FE6951">
        <w:t>Gestão de Projetos</w:t>
      </w:r>
      <w:bookmarkEnd w:id="333"/>
    </w:p>
    <w:p w14:paraId="03B4FD45" w14:textId="0816B8F3" w:rsidR="00E7441D" w:rsidRDefault="003C6134" w:rsidP="00134802">
      <w:pPr>
        <w:spacing w:line="240" w:lineRule="auto"/>
      </w:pPr>
      <w:r w:rsidRPr="00FE6951">
        <w:rPr>
          <w:sz w:val="22"/>
          <w:lang w:eastAsia="pt-BR"/>
        </w:rPr>
        <w:t>Em 202</w:t>
      </w:r>
      <w:r w:rsidR="00866C85" w:rsidRPr="00FE6951">
        <w:rPr>
          <w:sz w:val="22"/>
          <w:lang w:eastAsia="pt-BR"/>
        </w:rPr>
        <w:t>3</w:t>
      </w:r>
      <w:r w:rsidRPr="00FE6951">
        <w:rPr>
          <w:sz w:val="22"/>
          <w:lang w:eastAsia="pt-BR"/>
        </w:rPr>
        <w:t xml:space="preserve">, </w:t>
      </w:r>
      <w:r w:rsidR="00EF64DB">
        <w:rPr>
          <w:sz w:val="22"/>
          <w:lang w:eastAsia="pt-BR"/>
        </w:rPr>
        <w:t xml:space="preserve">a gestão de projetos contabilizou a atuação em 87 frentes de projetos, dos quais 31 foram concluídos. </w:t>
      </w:r>
      <w:r w:rsidR="00E7014B">
        <w:rPr>
          <w:sz w:val="22"/>
          <w:lang w:eastAsia="pt-BR"/>
        </w:rPr>
        <w:t>Dentre os principais projetos estão aqueles relacionados à</w:t>
      </w:r>
      <w:r w:rsidR="00FE2705">
        <w:rPr>
          <w:sz w:val="22"/>
          <w:lang w:eastAsia="pt-BR"/>
        </w:rPr>
        <w:t>s</w:t>
      </w:r>
      <w:r w:rsidR="00E7014B">
        <w:rPr>
          <w:sz w:val="22"/>
          <w:lang w:eastAsia="pt-BR"/>
        </w:rPr>
        <w:t xml:space="preserve"> </w:t>
      </w:r>
      <w:r w:rsidR="00FE2705">
        <w:rPr>
          <w:sz w:val="22"/>
          <w:lang w:eastAsia="pt-BR"/>
        </w:rPr>
        <w:t xml:space="preserve">Redes Privativas, </w:t>
      </w:r>
      <w:r w:rsidR="00E7014B">
        <w:rPr>
          <w:sz w:val="22"/>
          <w:lang w:eastAsia="pt-BR"/>
        </w:rPr>
        <w:t xml:space="preserve">modernização do CORE IP, ampliação da rede DWDM, Programa Amazônia Conectada (PAC), lançamento de produtos, mapeamento de processos, vendas com equipagem e outros projetos das diretorias da Telebras. </w:t>
      </w:r>
      <w:r w:rsidR="00EF64DB">
        <w:rPr>
          <w:sz w:val="22"/>
          <w:lang w:eastAsia="pt-BR"/>
        </w:rPr>
        <w:t>Esses projetos possuem</w:t>
      </w:r>
      <w:r w:rsidR="00A50C02" w:rsidRPr="00FE6951">
        <w:rPr>
          <w:sz w:val="22"/>
          <w:lang w:eastAsia="pt-BR"/>
        </w:rPr>
        <w:t xml:space="preserve"> impacto direto </w:t>
      </w:r>
      <w:r w:rsidR="006A536F" w:rsidRPr="00FE6951">
        <w:rPr>
          <w:sz w:val="22"/>
          <w:lang w:eastAsia="pt-BR"/>
        </w:rPr>
        <w:t>nos resultados econômico-financeiros,</w:t>
      </w:r>
      <w:r w:rsidR="0092465F" w:rsidRPr="00FE6951">
        <w:rPr>
          <w:sz w:val="22"/>
          <w:lang w:eastAsia="pt-BR"/>
        </w:rPr>
        <w:t xml:space="preserve"> </w:t>
      </w:r>
      <w:r w:rsidR="007E21FF" w:rsidRPr="00FE6951">
        <w:rPr>
          <w:sz w:val="22"/>
          <w:lang w:eastAsia="pt-BR"/>
        </w:rPr>
        <w:t>c</w:t>
      </w:r>
      <w:r w:rsidR="00F7182C" w:rsidRPr="00FE6951">
        <w:rPr>
          <w:sz w:val="22"/>
          <w:lang w:eastAsia="pt-BR"/>
        </w:rPr>
        <w:t>ompetência</w:t>
      </w:r>
      <w:r w:rsidR="00A50C02" w:rsidRPr="00FE6951">
        <w:rPr>
          <w:sz w:val="22"/>
          <w:lang w:eastAsia="pt-BR"/>
        </w:rPr>
        <w:t>s organizacionais</w:t>
      </w:r>
      <w:r w:rsidR="004A19DB" w:rsidRPr="00FE6951">
        <w:rPr>
          <w:sz w:val="22"/>
          <w:lang w:eastAsia="pt-BR"/>
        </w:rPr>
        <w:t xml:space="preserve">, </w:t>
      </w:r>
      <w:r w:rsidR="007E21FF" w:rsidRPr="00FE6951">
        <w:rPr>
          <w:sz w:val="22"/>
          <w:lang w:eastAsia="pt-BR"/>
        </w:rPr>
        <w:t>c</w:t>
      </w:r>
      <w:r w:rsidR="00CD5413" w:rsidRPr="00FE6951">
        <w:rPr>
          <w:sz w:val="22"/>
          <w:lang w:eastAsia="pt-BR"/>
        </w:rPr>
        <w:t>ultura</w:t>
      </w:r>
      <w:r w:rsidR="00127707" w:rsidRPr="00FE6951">
        <w:rPr>
          <w:sz w:val="22"/>
          <w:lang w:eastAsia="pt-BR"/>
        </w:rPr>
        <w:t>,</w:t>
      </w:r>
      <w:r w:rsidR="004A19DB" w:rsidRPr="00FE6951">
        <w:rPr>
          <w:sz w:val="22"/>
          <w:lang w:eastAsia="pt-BR"/>
        </w:rPr>
        <w:t xml:space="preserve"> </w:t>
      </w:r>
      <w:r w:rsidR="007E21FF" w:rsidRPr="00FE6951">
        <w:rPr>
          <w:sz w:val="22"/>
          <w:lang w:eastAsia="pt-BR"/>
        </w:rPr>
        <w:t>g</w:t>
      </w:r>
      <w:r w:rsidR="00C8693F" w:rsidRPr="00FE6951">
        <w:rPr>
          <w:sz w:val="22"/>
          <w:lang w:eastAsia="pt-BR"/>
        </w:rPr>
        <w:t xml:space="preserve">estão da </w:t>
      </w:r>
      <w:r w:rsidR="007E21FF" w:rsidRPr="00FE6951">
        <w:rPr>
          <w:sz w:val="22"/>
          <w:lang w:eastAsia="pt-BR"/>
        </w:rPr>
        <w:t>i</w:t>
      </w:r>
      <w:r w:rsidR="00C8693F" w:rsidRPr="00FE6951">
        <w:rPr>
          <w:sz w:val="22"/>
          <w:lang w:eastAsia="pt-BR"/>
        </w:rPr>
        <w:t xml:space="preserve">nformação e do </w:t>
      </w:r>
      <w:r w:rsidR="007E21FF" w:rsidRPr="00FE6951">
        <w:rPr>
          <w:sz w:val="22"/>
          <w:lang w:eastAsia="pt-BR"/>
        </w:rPr>
        <w:t>c</w:t>
      </w:r>
      <w:r w:rsidR="00C8693F" w:rsidRPr="00FE6951">
        <w:rPr>
          <w:sz w:val="22"/>
          <w:lang w:eastAsia="pt-BR"/>
        </w:rPr>
        <w:t>onhecimento</w:t>
      </w:r>
      <w:r w:rsidR="004A19DB" w:rsidRPr="00FE6951">
        <w:rPr>
          <w:sz w:val="22"/>
          <w:lang w:eastAsia="pt-BR"/>
        </w:rPr>
        <w:t xml:space="preserve">, </w:t>
      </w:r>
      <w:r w:rsidR="007E21FF" w:rsidRPr="00FE6951">
        <w:rPr>
          <w:sz w:val="22"/>
          <w:lang w:eastAsia="pt-BR"/>
        </w:rPr>
        <w:t>p</w:t>
      </w:r>
      <w:r w:rsidR="004A19DB" w:rsidRPr="00FE6951">
        <w:rPr>
          <w:sz w:val="22"/>
          <w:lang w:eastAsia="pt-BR"/>
        </w:rPr>
        <w:t xml:space="preserve">rocessos, </w:t>
      </w:r>
      <w:r w:rsidR="007E21FF" w:rsidRPr="00FE6951">
        <w:rPr>
          <w:sz w:val="22"/>
          <w:lang w:eastAsia="pt-BR"/>
        </w:rPr>
        <w:t>d</w:t>
      </w:r>
      <w:r w:rsidR="009A4908" w:rsidRPr="00FE6951">
        <w:rPr>
          <w:sz w:val="22"/>
          <w:lang w:eastAsia="pt-BR"/>
        </w:rPr>
        <w:t xml:space="preserve">esenvolvimento de </w:t>
      </w:r>
      <w:r w:rsidR="007E21FF" w:rsidRPr="00FE6951">
        <w:rPr>
          <w:sz w:val="22"/>
          <w:lang w:eastAsia="pt-BR"/>
        </w:rPr>
        <w:t>s</w:t>
      </w:r>
      <w:r w:rsidR="009A4908" w:rsidRPr="00FE6951">
        <w:rPr>
          <w:sz w:val="22"/>
          <w:lang w:eastAsia="pt-BR"/>
        </w:rPr>
        <w:t>erviços</w:t>
      </w:r>
      <w:r w:rsidR="00844FC7" w:rsidRPr="00FE6951">
        <w:rPr>
          <w:sz w:val="22"/>
          <w:lang w:eastAsia="pt-BR"/>
        </w:rPr>
        <w:t xml:space="preserve"> e</w:t>
      </w:r>
      <w:r w:rsidR="009D1AD5" w:rsidRPr="00FE6951">
        <w:rPr>
          <w:sz w:val="22"/>
          <w:lang w:eastAsia="pt-BR"/>
        </w:rPr>
        <w:t xml:space="preserve"> </w:t>
      </w:r>
      <w:r w:rsidR="007E21FF" w:rsidRPr="00FE6951">
        <w:rPr>
          <w:sz w:val="22"/>
          <w:lang w:eastAsia="pt-BR"/>
        </w:rPr>
        <w:t>i</w:t>
      </w:r>
      <w:r w:rsidR="00844FC7" w:rsidRPr="00FE6951">
        <w:rPr>
          <w:sz w:val="22"/>
          <w:lang w:eastAsia="pt-BR"/>
        </w:rPr>
        <w:t xml:space="preserve">nfraestrutura, </w:t>
      </w:r>
      <w:r w:rsidR="007E21FF" w:rsidRPr="00FE6951">
        <w:rPr>
          <w:sz w:val="22"/>
          <w:lang w:eastAsia="pt-BR"/>
        </w:rPr>
        <w:t>s</w:t>
      </w:r>
      <w:r w:rsidR="00AD6525" w:rsidRPr="00FE6951">
        <w:rPr>
          <w:sz w:val="22"/>
          <w:lang w:eastAsia="pt-BR"/>
        </w:rPr>
        <w:t xml:space="preserve">atisfação dos </w:t>
      </w:r>
      <w:r w:rsidR="007E21FF" w:rsidRPr="00FE6951">
        <w:rPr>
          <w:sz w:val="22"/>
          <w:lang w:eastAsia="pt-BR"/>
        </w:rPr>
        <w:t>c</w:t>
      </w:r>
      <w:r w:rsidR="00AD6525" w:rsidRPr="00FE6951">
        <w:rPr>
          <w:sz w:val="22"/>
          <w:lang w:eastAsia="pt-BR"/>
        </w:rPr>
        <w:t xml:space="preserve">lientes, </w:t>
      </w:r>
      <w:r w:rsidR="007E21FF" w:rsidRPr="00FE6951">
        <w:rPr>
          <w:sz w:val="22"/>
          <w:lang w:eastAsia="pt-BR"/>
        </w:rPr>
        <w:t>p</w:t>
      </w:r>
      <w:r w:rsidR="001D046F" w:rsidRPr="00FE6951">
        <w:rPr>
          <w:sz w:val="22"/>
          <w:lang w:eastAsia="pt-BR"/>
        </w:rPr>
        <w:t xml:space="preserve">olíticas </w:t>
      </w:r>
      <w:r w:rsidR="007E21FF" w:rsidRPr="00FE6951">
        <w:rPr>
          <w:sz w:val="22"/>
          <w:lang w:eastAsia="pt-BR"/>
        </w:rPr>
        <w:t>p</w:t>
      </w:r>
      <w:r w:rsidR="001D046F" w:rsidRPr="00FE6951">
        <w:rPr>
          <w:sz w:val="22"/>
          <w:lang w:eastAsia="pt-BR"/>
        </w:rPr>
        <w:t>úblicas</w:t>
      </w:r>
      <w:r w:rsidR="000651B2" w:rsidRPr="00FE6951">
        <w:rPr>
          <w:sz w:val="22"/>
          <w:lang w:eastAsia="pt-BR"/>
        </w:rPr>
        <w:t xml:space="preserve"> e</w:t>
      </w:r>
      <w:r w:rsidR="001D046F" w:rsidRPr="00FE6951">
        <w:rPr>
          <w:sz w:val="22"/>
          <w:lang w:eastAsia="pt-BR"/>
        </w:rPr>
        <w:t xml:space="preserve"> </w:t>
      </w:r>
      <w:r w:rsidR="007E21FF" w:rsidRPr="00FE6951">
        <w:rPr>
          <w:sz w:val="22"/>
          <w:lang w:eastAsia="pt-BR"/>
        </w:rPr>
        <w:t>s</w:t>
      </w:r>
      <w:r w:rsidR="000651B2" w:rsidRPr="00FE6951">
        <w:rPr>
          <w:sz w:val="22"/>
          <w:lang w:eastAsia="pt-BR"/>
        </w:rPr>
        <w:t>egurança</w:t>
      </w:r>
      <w:r w:rsidR="00EF64DB">
        <w:rPr>
          <w:sz w:val="22"/>
          <w:lang w:eastAsia="pt-BR"/>
        </w:rPr>
        <w:t>, com foco no</w:t>
      </w:r>
      <w:r w:rsidR="00127707" w:rsidRPr="00FE6951">
        <w:rPr>
          <w:sz w:val="22"/>
          <w:lang w:eastAsia="pt-BR"/>
        </w:rPr>
        <w:t xml:space="preserve"> </w:t>
      </w:r>
      <w:r w:rsidR="000B1CB0" w:rsidRPr="00FE6951">
        <w:rPr>
          <w:sz w:val="22"/>
          <w:lang w:eastAsia="pt-BR"/>
        </w:rPr>
        <w:t>atingimento</w:t>
      </w:r>
      <w:r w:rsidR="009426DB" w:rsidRPr="00FE6951">
        <w:rPr>
          <w:sz w:val="22"/>
          <w:lang w:eastAsia="pt-BR"/>
        </w:rPr>
        <w:t xml:space="preserve"> dos </w:t>
      </w:r>
      <w:r w:rsidR="00127707" w:rsidRPr="00FE6951">
        <w:rPr>
          <w:sz w:val="22"/>
          <w:lang w:eastAsia="pt-BR"/>
        </w:rPr>
        <w:t>Objetivos Estratégicos</w:t>
      </w:r>
      <w:r w:rsidR="00E72836" w:rsidRPr="00FE6951">
        <w:rPr>
          <w:sz w:val="22"/>
          <w:lang w:eastAsia="pt-BR"/>
        </w:rPr>
        <w:t xml:space="preserve"> da </w:t>
      </w:r>
      <w:r w:rsidR="00F50118" w:rsidRPr="00FE6951">
        <w:rPr>
          <w:sz w:val="22"/>
          <w:lang w:eastAsia="pt-BR"/>
        </w:rPr>
        <w:t>Companhia</w:t>
      </w:r>
      <w:r w:rsidR="00E72836" w:rsidRPr="00FE6951">
        <w:rPr>
          <w:sz w:val="22"/>
          <w:lang w:eastAsia="pt-BR"/>
        </w:rPr>
        <w:t>.</w:t>
      </w:r>
      <w:r w:rsidR="00DB6BD3">
        <w:rPr>
          <w:sz w:val="22"/>
          <w:lang w:eastAsia="pt-BR"/>
        </w:rPr>
        <w:t xml:space="preserve"> </w:t>
      </w:r>
    </w:p>
    <w:p w14:paraId="33160E89" w14:textId="77777777" w:rsidR="00AF61CE" w:rsidRPr="00FE6951" w:rsidRDefault="00FB0572" w:rsidP="00134802">
      <w:pPr>
        <w:spacing w:before="120" w:line="240" w:lineRule="auto"/>
        <w:rPr>
          <w:sz w:val="22"/>
          <w:lang w:eastAsia="pt-BR"/>
        </w:rPr>
        <w:sectPr w:rsidR="00AF61CE" w:rsidRPr="00FE6951" w:rsidSect="000978E5">
          <w:footnotePr>
            <w:pos w:val="beneathText"/>
          </w:footnotePr>
          <w:pgSz w:w="11907" w:h="16840" w:code="9"/>
          <w:pgMar w:top="1701" w:right="1134" w:bottom="1531" w:left="1701" w:header="397" w:footer="397" w:gutter="0"/>
          <w:cols w:space="708"/>
          <w:titlePg/>
          <w:docGrid w:linePitch="360"/>
        </w:sectPr>
      </w:pPr>
      <w:bookmarkStart w:id="334" w:name="_Toc154569928"/>
      <w:r w:rsidRPr="00FE6951">
        <w:rPr>
          <w:sz w:val="22"/>
          <w:lang w:eastAsia="pt-BR"/>
        </w:rPr>
        <w:lastRenderedPageBreak/>
        <w:t>Adicionalmente,</w:t>
      </w:r>
      <w:r w:rsidR="007372AF" w:rsidRPr="00FE6951">
        <w:rPr>
          <w:sz w:val="22"/>
          <w:lang w:eastAsia="pt-BR"/>
        </w:rPr>
        <w:t xml:space="preserve"> </w:t>
      </w:r>
      <w:r w:rsidR="00AF61CE" w:rsidRPr="00FE6951">
        <w:rPr>
          <w:sz w:val="22"/>
          <w:lang w:eastAsia="pt-BR"/>
        </w:rPr>
        <w:t xml:space="preserve">a </w:t>
      </w:r>
      <w:r w:rsidRPr="00FE6951">
        <w:rPr>
          <w:sz w:val="22"/>
          <w:lang w:eastAsia="pt-BR"/>
        </w:rPr>
        <w:t xml:space="preserve">Gestão </w:t>
      </w:r>
      <w:r w:rsidR="00AF61CE" w:rsidRPr="00FE6951">
        <w:rPr>
          <w:sz w:val="22"/>
          <w:lang w:eastAsia="pt-BR"/>
        </w:rPr>
        <w:t xml:space="preserve">de </w:t>
      </w:r>
      <w:r w:rsidR="007372AF" w:rsidRPr="00FE6951">
        <w:rPr>
          <w:sz w:val="22"/>
          <w:lang w:eastAsia="pt-BR"/>
        </w:rPr>
        <w:t>Projetos atuou focada no desdobramento tático e operacional do Plano Estratégico</w:t>
      </w:r>
      <w:r w:rsidR="00FE6951" w:rsidRPr="00FE6951">
        <w:rPr>
          <w:sz w:val="22"/>
          <w:lang w:eastAsia="pt-BR"/>
        </w:rPr>
        <w:t xml:space="preserve"> (PEI)</w:t>
      </w:r>
      <w:r w:rsidR="007372AF" w:rsidRPr="00FE6951">
        <w:rPr>
          <w:sz w:val="22"/>
          <w:lang w:eastAsia="pt-BR"/>
        </w:rPr>
        <w:t xml:space="preserve"> 2023-2027</w:t>
      </w:r>
      <w:r w:rsidR="00FE6951">
        <w:rPr>
          <w:sz w:val="22"/>
          <w:lang w:eastAsia="pt-BR"/>
        </w:rPr>
        <w:t xml:space="preserve"> com análise de indicadores e acompanhamento de prazos</w:t>
      </w:r>
      <w:r w:rsidR="00866C85" w:rsidRPr="00FE6951">
        <w:rPr>
          <w:sz w:val="22"/>
          <w:lang w:eastAsia="pt-BR"/>
        </w:rPr>
        <w:t>.</w:t>
      </w:r>
      <w:r w:rsidR="007372AF" w:rsidRPr="00FE6951">
        <w:rPr>
          <w:sz w:val="22"/>
          <w:lang w:eastAsia="pt-BR"/>
        </w:rPr>
        <w:t xml:space="preserve"> Esses esforços terão continuidade em 2024 com foco na atualização do PEI </w:t>
      </w:r>
    </w:p>
    <w:p w14:paraId="6D7E320D" w14:textId="13EE1C25" w:rsidR="008A34BD" w:rsidRPr="003B460A" w:rsidRDefault="509DC2DD" w:rsidP="00E53C4F">
      <w:pPr>
        <w:pStyle w:val="Ttulo1"/>
        <w:spacing w:after="240" w:line="276" w:lineRule="auto"/>
        <w:ind w:left="425" w:hanging="425"/>
        <w:rPr>
          <w:sz w:val="24"/>
          <w:szCs w:val="28"/>
        </w:rPr>
      </w:pPr>
      <w:bookmarkStart w:id="335" w:name="_Toc161319456"/>
      <w:r w:rsidRPr="003B460A">
        <w:rPr>
          <w:sz w:val="24"/>
          <w:szCs w:val="28"/>
        </w:rPr>
        <w:lastRenderedPageBreak/>
        <w:t>Os Negócios da Telebras</w:t>
      </w:r>
      <w:bookmarkStart w:id="336" w:name="_Toc9860145"/>
      <w:bookmarkEnd w:id="335"/>
    </w:p>
    <w:p w14:paraId="5EE8C9EB" w14:textId="1850839C" w:rsidR="008A34BD" w:rsidRPr="003B460A" w:rsidRDefault="00C47F8C" w:rsidP="009348CE">
      <w:pPr>
        <w:pStyle w:val="Ttulo2"/>
        <w:spacing w:before="240" w:after="240" w:line="276" w:lineRule="auto"/>
        <w:ind w:left="567" w:hanging="567"/>
      </w:pPr>
      <w:bookmarkStart w:id="337" w:name="_Toc966433"/>
      <w:bookmarkStart w:id="338" w:name="_Toc966434"/>
      <w:bookmarkStart w:id="339" w:name="_Toc966435"/>
      <w:bookmarkStart w:id="340" w:name="_Toc966436"/>
      <w:bookmarkStart w:id="341" w:name="_Toc966437"/>
      <w:bookmarkStart w:id="342" w:name="_Toc966438"/>
      <w:bookmarkStart w:id="343" w:name="_Toc966439"/>
      <w:bookmarkStart w:id="344" w:name="_Toc966440"/>
      <w:bookmarkStart w:id="345" w:name="_Toc966441"/>
      <w:bookmarkStart w:id="346" w:name="_Toc966442"/>
      <w:bookmarkStart w:id="347" w:name="_Toc966443"/>
      <w:bookmarkStart w:id="348" w:name="_Toc966444"/>
      <w:bookmarkStart w:id="349" w:name="_Toc95121277"/>
      <w:bookmarkStart w:id="350" w:name="_Toc95122858"/>
      <w:bookmarkStart w:id="351" w:name="_Toc95154934"/>
      <w:bookmarkStart w:id="352" w:name="_Toc95160607"/>
      <w:bookmarkStart w:id="353" w:name="_Toc95160666"/>
      <w:bookmarkStart w:id="354" w:name="_Toc95160725"/>
      <w:bookmarkStart w:id="355" w:name="_Toc95160784"/>
      <w:bookmarkStart w:id="356" w:name="_Toc95160843"/>
      <w:bookmarkStart w:id="357" w:name="_Toc95161131"/>
      <w:bookmarkStart w:id="358" w:name="_Toc95161350"/>
      <w:bookmarkStart w:id="359" w:name="_Toc95161450"/>
      <w:bookmarkStart w:id="360" w:name="_Toc95205588"/>
      <w:bookmarkStart w:id="361" w:name="_Toc95207181"/>
      <w:bookmarkStart w:id="362" w:name="_Toc95397116"/>
      <w:bookmarkStart w:id="363" w:name="_Toc95922482"/>
      <w:bookmarkStart w:id="364" w:name="_Toc97281021"/>
      <w:bookmarkStart w:id="365" w:name="_Toc97281081"/>
      <w:bookmarkStart w:id="366" w:name="_Toc97647170"/>
      <w:bookmarkStart w:id="367" w:name="_Toc97647230"/>
      <w:bookmarkStart w:id="368" w:name="_Toc97647290"/>
      <w:bookmarkStart w:id="369" w:name="_Toc97647559"/>
      <w:bookmarkStart w:id="370" w:name="_Toc97647619"/>
      <w:bookmarkStart w:id="371" w:name="_Toc97647679"/>
      <w:bookmarkStart w:id="372" w:name="_Toc97647739"/>
      <w:bookmarkStart w:id="373" w:name="_Toc98433182"/>
      <w:bookmarkStart w:id="374" w:name="_Toc98433248"/>
      <w:bookmarkStart w:id="375" w:name="_Toc98433308"/>
      <w:bookmarkStart w:id="376" w:name="_Toc98433368"/>
      <w:bookmarkStart w:id="377" w:name="_Toc126941678"/>
      <w:bookmarkStart w:id="378" w:name="_Toc126942743"/>
      <w:bookmarkStart w:id="379" w:name="_Toc126943969"/>
      <w:bookmarkStart w:id="380" w:name="_Toc126945811"/>
      <w:bookmarkStart w:id="381" w:name="_Toc127550258"/>
      <w:bookmarkStart w:id="382" w:name="_Toc128043955"/>
      <w:bookmarkStart w:id="383" w:name="_Toc129609303"/>
      <w:bookmarkStart w:id="384" w:name="_Toc129609366"/>
      <w:bookmarkStart w:id="385" w:name="_Toc129609431"/>
      <w:bookmarkStart w:id="386" w:name="_Toc95122859"/>
      <w:bookmarkStart w:id="387" w:name="_Toc95154935"/>
      <w:bookmarkStart w:id="388" w:name="_Toc95160608"/>
      <w:bookmarkStart w:id="389" w:name="_Toc95160667"/>
      <w:bookmarkStart w:id="390" w:name="_Toc95160726"/>
      <w:bookmarkStart w:id="391" w:name="_Toc95160785"/>
      <w:bookmarkStart w:id="392" w:name="_Toc95160844"/>
      <w:bookmarkStart w:id="393" w:name="_Toc95161132"/>
      <w:bookmarkStart w:id="394" w:name="_Toc95161351"/>
      <w:bookmarkStart w:id="395" w:name="_Toc95161451"/>
      <w:bookmarkStart w:id="396" w:name="_Toc95205589"/>
      <w:bookmarkStart w:id="397" w:name="_Toc95207182"/>
      <w:bookmarkStart w:id="398" w:name="_Toc95397117"/>
      <w:bookmarkStart w:id="399" w:name="_Toc95922483"/>
      <w:bookmarkStart w:id="400" w:name="_Toc97281022"/>
      <w:bookmarkStart w:id="401" w:name="_Toc97281082"/>
      <w:bookmarkStart w:id="402" w:name="_Toc97647171"/>
      <w:bookmarkStart w:id="403" w:name="_Toc97647231"/>
      <w:bookmarkStart w:id="404" w:name="_Toc97647291"/>
      <w:bookmarkStart w:id="405" w:name="_Toc97647560"/>
      <w:bookmarkStart w:id="406" w:name="_Toc97647620"/>
      <w:bookmarkStart w:id="407" w:name="_Toc97647680"/>
      <w:bookmarkStart w:id="408" w:name="_Toc97647740"/>
      <w:bookmarkStart w:id="409" w:name="_Toc98433183"/>
      <w:bookmarkStart w:id="410" w:name="_Toc98433249"/>
      <w:bookmarkStart w:id="411" w:name="_Toc98433309"/>
      <w:bookmarkStart w:id="412" w:name="_Toc98433369"/>
      <w:bookmarkStart w:id="413" w:name="_Toc126941679"/>
      <w:bookmarkStart w:id="414" w:name="_Toc126942744"/>
      <w:bookmarkStart w:id="415" w:name="_Toc126943970"/>
      <w:bookmarkStart w:id="416" w:name="_Toc126945812"/>
      <w:bookmarkStart w:id="417" w:name="_Toc127550259"/>
      <w:bookmarkStart w:id="418" w:name="_Toc128043956"/>
      <w:bookmarkStart w:id="419" w:name="_Toc129609304"/>
      <w:bookmarkStart w:id="420" w:name="_Toc129609367"/>
      <w:bookmarkStart w:id="421" w:name="_Toc129609432"/>
      <w:bookmarkStart w:id="422" w:name="_Toc161319457"/>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r w:rsidRPr="003B460A">
        <w:t>C</w:t>
      </w:r>
      <w:r w:rsidR="000B2295" w:rsidRPr="003B460A">
        <w:t>onjuntura Econômica Setorial</w:t>
      </w:r>
      <w:bookmarkEnd w:id="422"/>
    </w:p>
    <w:p w14:paraId="0656C0C2" w14:textId="3A7959D8" w:rsidR="00E11103" w:rsidRDefault="00E11103" w:rsidP="006F4A93">
      <w:pPr>
        <w:spacing w:before="120" w:after="0" w:line="240" w:lineRule="auto"/>
        <w:rPr>
          <w:rFonts w:eastAsia="Arial" w:cs="Arial"/>
          <w:sz w:val="22"/>
        </w:rPr>
      </w:pPr>
      <w:r>
        <w:rPr>
          <w:rFonts w:eastAsia="Arial" w:cs="Arial"/>
          <w:sz w:val="22"/>
        </w:rPr>
        <w:t xml:space="preserve">O ano de </w:t>
      </w:r>
      <w:r w:rsidR="006F4A93" w:rsidRPr="007A619F">
        <w:rPr>
          <w:rFonts w:eastAsia="Arial" w:cs="Arial"/>
          <w:sz w:val="22"/>
        </w:rPr>
        <w:t xml:space="preserve">2023 </w:t>
      </w:r>
      <w:r>
        <w:rPr>
          <w:rFonts w:eastAsia="Arial" w:cs="Arial"/>
          <w:sz w:val="22"/>
        </w:rPr>
        <w:t xml:space="preserve">apresentou desafios significativos </w:t>
      </w:r>
      <w:r w:rsidR="006F4A93" w:rsidRPr="007A619F">
        <w:rPr>
          <w:rFonts w:eastAsia="Arial" w:cs="Arial"/>
          <w:sz w:val="22"/>
        </w:rPr>
        <w:t xml:space="preserve">para as empresas de telecomunicações. </w:t>
      </w:r>
      <w:r>
        <w:rPr>
          <w:rFonts w:eastAsia="Arial" w:cs="Arial"/>
          <w:sz w:val="22"/>
        </w:rPr>
        <w:t>O</w:t>
      </w:r>
      <w:r w:rsidRPr="00E11103">
        <w:rPr>
          <w:rFonts w:eastAsia="Arial" w:cs="Arial"/>
          <w:sz w:val="22"/>
        </w:rPr>
        <w:t xml:space="preserve"> número de acessos à internet banda larga registrou um crescimento de 4,1%, uma taxa inferior à observada nos últimos cinco anos.</w:t>
      </w:r>
      <w:r>
        <w:rPr>
          <w:rFonts w:eastAsia="Arial" w:cs="Arial"/>
          <w:sz w:val="22"/>
        </w:rPr>
        <w:t xml:space="preserve"> </w:t>
      </w:r>
      <w:r w:rsidRPr="00E11103">
        <w:rPr>
          <w:rFonts w:eastAsia="Arial" w:cs="Arial"/>
          <w:sz w:val="22"/>
        </w:rPr>
        <w:t xml:space="preserve">Segundo dados da </w:t>
      </w:r>
      <w:proofErr w:type="spellStart"/>
      <w:r w:rsidRPr="00E11103">
        <w:rPr>
          <w:rFonts w:eastAsia="Arial" w:cs="Arial"/>
          <w:sz w:val="22"/>
        </w:rPr>
        <w:t>Conexis</w:t>
      </w:r>
      <w:proofErr w:type="spellEnd"/>
      <w:r w:rsidRPr="00E11103">
        <w:rPr>
          <w:rFonts w:eastAsia="Arial" w:cs="Arial"/>
          <w:sz w:val="22"/>
        </w:rPr>
        <w:t xml:space="preserve"> Brasil Digital, nos primeiros nove meses de 2023, a banda larga fixa e a telefonia móvel contribuíram positivamente para a geração de receita no setor, com destaque para o aumento de 13,2% na receita da banda larga fixa.</w:t>
      </w:r>
    </w:p>
    <w:p w14:paraId="351B7684" w14:textId="77777777" w:rsidR="00AF603F" w:rsidRDefault="00AF603F" w:rsidP="003B460A">
      <w:pPr>
        <w:spacing w:before="120" w:line="240" w:lineRule="auto"/>
        <w:rPr>
          <w:rFonts w:eastAsia="Calibri"/>
          <w:sz w:val="22"/>
        </w:rPr>
      </w:pPr>
      <w:r w:rsidRPr="00AF603F">
        <w:rPr>
          <w:rFonts w:eastAsia="Calibri"/>
          <w:sz w:val="22"/>
        </w:rPr>
        <w:t xml:space="preserve">A </w:t>
      </w:r>
      <w:proofErr w:type="spellStart"/>
      <w:r w:rsidRPr="00AF603F">
        <w:rPr>
          <w:rFonts w:eastAsia="Calibri"/>
          <w:sz w:val="22"/>
        </w:rPr>
        <w:t>Conexis</w:t>
      </w:r>
      <w:proofErr w:type="spellEnd"/>
      <w:r w:rsidRPr="00AF603F">
        <w:rPr>
          <w:rFonts w:eastAsia="Calibri"/>
          <w:sz w:val="22"/>
        </w:rPr>
        <w:t xml:space="preserve"> reportou que o setor de telecomunicações investiu um total de R$ 24,7 bilhões até o terceiro trimestre de 2023. Durante o mesmo período, a receita bruta do setor atingiu R$ 214 bilhões, em valores atualizados. Os principais investimentos durante esse período foram direcionados para a expansão da rede de fibra e o reforço da rede móvel, especialmente do 5G, de acordo com a entidade que representa as principais operadoras do país.</w:t>
      </w:r>
    </w:p>
    <w:p w14:paraId="0C77715A" w14:textId="77777777" w:rsidR="00AF603F" w:rsidRPr="00AF603F" w:rsidRDefault="00AF603F" w:rsidP="00AF603F">
      <w:pPr>
        <w:spacing w:before="120" w:line="240" w:lineRule="auto"/>
        <w:rPr>
          <w:rFonts w:eastAsia="Calibri"/>
          <w:sz w:val="22"/>
        </w:rPr>
      </w:pPr>
      <w:r w:rsidRPr="00AF603F">
        <w:rPr>
          <w:rFonts w:eastAsia="Calibri"/>
          <w:sz w:val="22"/>
        </w:rPr>
        <w:t>O montante total investido representa uma queda real de 10% em relação ao mesmo período de 2022, após o ajuste dos efeitos da inflação, quando foram investidos R$ 27,5 bilhões.</w:t>
      </w:r>
    </w:p>
    <w:p w14:paraId="414CA9D9" w14:textId="35E78220" w:rsidR="00AF603F" w:rsidRDefault="00AF603F" w:rsidP="003B460A">
      <w:pPr>
        <w:spacing w:before="120" w:line="240" w:lineRule="auto"/>
        <w:rPr>
          <w:rFonts w:eastAsia="Calibri"/>
          <w:sz w:val="22"/>
        </w:rPr>
      </w:pPr>
      <w:r w:rsidRPr="00AF603F">
        <w:rPr>
          <w:rFonts w:eastAsia="Calibri"/>
          <w:sz w:val="22"/>
        </w:rPr>
        <w:t>De acordo com CGI.br, em 2023, 84% dos domicílios brasileiros tinham acesso à internet, representando um aumento de 5% em relação a 2022. No entanto, ainda há uma parcela significativa de 29% da população brasileira que não está conectada à rede.</w:t>
      </w:r>
    </w:p>
    <w:p w14:paraId="49AA969A" w14:textId="21486444" w:rsidR="008C7769" w:rsidRPr="008C7769" w:rsidRDefault="008C7769" w:rsidP="009D27EB">
      <w:pPr>
        <w:spacing w:before="120" w:line="240" w:lineRule="auto"/>
        <w:rPr>
          <w:rFonts w:eastAsia="Calibri"/>
          <w:sz w:val="22"/>
        </w:rPr>
      </w:pPr>
      <w:r w:rsidRPr="008C7769">
        <w:rPr>
          <w:rFonts w:eastAsia="Calibri"/>
          <w:sz w:val="22"/>
        </w:rPr>
        <w:t xml:space="preserve">Segundo a Anatel, o mercado brasileiro de banda larga fixa via acesso satelital passou por uma transformação significativa em 2023, impulsionada pela expansão da oferta de satélites </w:t>
      </w:r>
      <w:proofErr w:type="spellStart"/>
      <w:r w:rsidRPr="008C7769">
        <w:rPr>
          <w:rFonts w:eastAsia="Calibri"/>
          <w:sz w:val="22"/>
        </w:rPr>
        <w:t>de</w:t>
      </w:r>
      <w:proofErr w:type="spellEnd"/>
      <w:r w:rsidRPr="008C7769">
        <w:rPr>
          <w:rFonts w:eastAsia="Calibri"/>
          <w:sz w:val="22"/>
        </w:rPr>
        <w:t xml:space="preserve"> órbita terrestre baixa (LEO).</w:t>
      </w:r>
      <w:r w:rsidR="0003183F">
        <w:rPr>
          <w:rFonts w:eastAsia="Calibri"/>
          <w:sz w:val="22"/>
        </w:rPr>
        <w:t xml:space="preserve"> Houve aumento expressivo no total de acessos em 2023, na ordem de 25,75%. </w:t>
      </w:r>
    </w:p>
    <w:p w14:paraId="0752802E" w14:textId="00C0C7B4" w:rsidR="008C7769" w:rsidRDefault="008C7769" w:rsidP="008C7769">
      <w:pPr>
        <w:spacing w:before="120" w:line="240" w:lineRule="auto"/>
        <w:rPr>
          <w:rFonts w:eastAsia="Calibri"/>
          <w:sz w:val="22"/>
        </w:rPr>
      </w:pPr>
      <w:r w:rsidRPr="008C7769">
        <w:rPr>
          <w:rFonts w:eastAsia="Calibri"/>
          <w:sz w:val="22"/>
        </w:rPr>
        <w:t>A tabela abaixo ilustra a evolução da competição no mercado de banda larga via satélite brasileiro em 2023, conforme relatado pelas empresas à Anatel:</w:t>
      </w:r>
    </w:p>
    <w:p w14:paraId="1EF487FA" w14:textId="6560A290" w:rsidR="000971F0" w:rsidRDefault="000971F0" w:rsidP="003B460A">
      <w:pPr>
        <w:spacing w:before="120" w:line="240" w:lineRule="auto"/>
        <w:rPr>
          <w:noProof/>
          <w:lang w:eastAsia="pt-BR"/>
        </w:rPr>
      </w:pPr>
    </w:p>
    <w:p w14:paraId="63D5B543" w14:textId="474967EC" w:rsidR="006F4A93" w:rsidRPr="003B460A" w:rsidRDefault="00514555" w:rsidP="00AE3EC3">
      <w:pPr>
        <w:spacing w:before="120" w:line="240" w:lineRule="auto"/>
        <w:jc w:val="center"/>
        <w:rPr>
          <w:rFonts w:eastAsia="Calibri"/>
          <w:sz w:val="22"/>
        </w:rPr>
      </w:pPr>
      <w:r>
        <w:rPr>
          <w:noProof/>
          <w:lang w:eastAsia="pt-BR"/>
        </w:rPr>
        <w:drawing>
          <wp:inline distT="0" distB="0" distL="0" distR="0" wp14:anchorId="7BA3593F" wp14:editId="44A3AEDC">
            <wp:extent cx="5219700" cy="1857375"/>
            <wp:effectExtent l="0" t="0" r="0" b="9525"/>
            <wp:docPr id="2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m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19700" cy="18573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5C695C83" w14:textId="3C10B013" w:rsidR="00FE13EC" w:rsidRPr="00531E99" w:rsidRDefault="00FE13EC" w:rsidP="00FE13EC">
      <w:pPr>
        <w:pStyle w:val="Legenda"/>
        <w:spacing w:before="120" w:after="0"/>
        <w:rPr>
          <w:rFonts w:ascii="Calibri" w:eastAsia="Calibri" w:hAnsi="Calibri" w:cs="Calibri"/>
          <w:color w:val="44546A"/>
        </w:rPr>
      </w:pPr>
      <w:bookmarkStart w:id="423" w:name="_Toc161319866"/>
      <w:r w:rsidRPr="00AE3EC3">
        <w:t xml:space="preserve">Tabela </w:t>
      </w:r>
      <w:r w:rsidR="006F713F">
        <w:fldChar w:fldCharType="begin"/>
      </w:r>
      <w:r w:rsidR="006F713F">
        <w:instrText xml:space="preserve"> STYLEREF 1 \s </w:instrText>
      </w:r>
      <w:r w:rsidR="006F713F">
        <w:fldChar w:fldCharType="separate"/>
      </w:r>
      <w:r w:rsidR="00247165">
        <w:rPr>
          <w:noProof/>
        </w:rPr>
        <w:t>6</w:t>
      </w:r>
      <w:r w:rsidR="006F713F">
        <w:rPr>
          <w:noProof/>
        </w:rPr>
        <w:fldChar w:fldCharType="end"/>
      </w:r>
      <w:r w:rsidRPr="00AE3EC3">
        <w:noBreakHyphen/>
      </w:r>
      <w:r w:rsidR="006F713F">
        <w:fldChar w:fldCharType="begin"/>
      </w:r>
      <w:r w:rsidR="006F713F">
        <w:instrText xml:space="preserve"> SEQ Tabela \* ARABIC \s 1 </w:instrText>
      </w:r>
      <w:r w:rsidR="006F713F">
        <w:fldChar w:fldCharType="separate"/>
      </w:r>
      <w:r w:rsidR="00247165">
        <w:rPr>
          <w:noProof/>
        </w:rPr>
        <w:t>1</w:t>
      </w:r>
      <w:r w:rsidR="006F713F">
        <w:rPr>
          <w:noProof/>
        </w:rPr>
        <w:fldChar w:fldCharType="end"/>
      </w:r>
      <w:r w:rsidRPr="00AE3EC3">
        <w:t xml:space="preserve"> Mercado de Banda Larga por Satélite</w:t>
      </w:r>
      <w:bookmarkEnd w:id="423"/>
    </w:p>
    <w:p w14:paraId="51E1A7AE" w14:textId="105CE7C8" w:rsidR="008B63C5" w:rsidRPr="000971F0" w:rsidRDefault="00416894" w:rsidP="004E4BD9">
      <w:pPr>
        <w:pStyle w:val="Ttulo2"/>
        <w:spacing w:before="360" w:after="240" w:line="276" w:lineRule="auto"/>
        <w:ind w:left="567" w:hanging="567"/>
      </w:pPr>
      <w:bookmarkStart w:id="424" w:name="_Toc161319458"/>
      <w:r w:rsidRPr="000971F0">
        <w:t>Vendas</w:t>
      </w:r>
      <w:bookmarkEnd w:id="424"/>
      <w:r w:rsidRPr="000971F0">
        <w:t xml:space="preserve"> </w:t>
      </w:r>
    </w:p>
    <w:p w14:paraId="5D6FC468" w14:textId="0B40CC96" w:rsidR="00250235" w:rsidRPr="00E10DDB" w:rsidRDefault="00250235" w:rsidP="00250235">
      <w:pPr>
        <w:spacing w:before="120" w:after="0" w:line="240" w:lineRule="auto"/>
        <w:rPr>
          <w:rFonts w:eastAsia="Arial" w:cs="Arial"/>
          <w:sz w:val="22"/>
        </w:rPr>
      </w:pPr>
      <w:r w:rsidRPr="00E10DDB">
        <w:rPr>
          <w:rFonts w:cs="Arial"/>
          <w:sz w:val="22"/>
          <w:szCs w:val="22"/>
        </w:rPr>
        <w:t xml:space="preserve">Com o primeiro ano do novo governo e a recuperação da economia brasileira, as áreas de vendas da Telebras (sede e Escritórios Regionais) tiveram como principal meta o aumento da receita anual, chegando ao final de 2023 com um total de </w:t>
      </w:r>
      <w:r w:rsidRPr="00E10DDB">
        <w:rPr>
          <w:rFonts w:eastAsia="Arial" w:cs="Arial"/>
          <w:sz w:val="22"/>
        </w:rPr>
        <w:t>2.259 links terrestres e 21.103 links satelitais ativos.</w:t>
      </w:r>
    </w:p>
    <w:p w14:paraId="6ADB7E3C" w14:textId="7F1BE006" w:rsidR="00250235" w:rsidRPr="00E10DDB" w:rsidRDefault="00250235" w:rsidP="00250235">
      <w:pPr>
        <w:spacing w:before="120" w:after="0" w:line="240" w:lineRule="auto"/>
        <w:rPr>
          <w:rFonts w:eastAsia="Arial" w:cs="Arial"/>
          <w:sz w:val="22"/>
        </w:rPr>
      </w:pPr>
      <w:r w:rsidRPr="00E10DDB">
        <w:rPr>
          <w:rFonts w:cs="Arial"/>
          <w:sz w:val="22"/>
          <w:szCs w:val="22"/>
        </w:rPr>
        <w:lastRenderedPageBreak/>
        <w:t xml:space="preserve">O contrato com o Programa de Governo Eletrônico — Serviço de Atendimento ao Cidadão (GESAC) foi renovado em 2023 com o Ministério das Comunicações, contemplando maiores velocidades e garantia de nível de serviço, abrindo possibilidade para o uso de novas tecnologias satelitais. </w:t>
      </w:r>
    </w:p>
    <w:p w14:paraId="56F49E52" w14:textId="3E60B81F" w:rsidR="00250235" w:rsidRPr="00E10DDB" w:rsidRDefault="00250235" w:rsidP="00250235">
      <w:pPr>
        <w:spacing w:before="120" w:line="240" w:lineRule="auto"/>
        <w:rPr>
          <w:rFonts w:cs="Arial"/>
          <w:sz w:val="22"/>
          <w:szCs w:val="22"/>
        </w:rPr>
      </w:pPr>
      <w:r w:rsidRPr="00E10DDB">
        <w:rPr>
          <w:rFonts w:cs="Arial"/>
          <w:sz w:val="22"/>
          <w:szCs w:val="22"/>
        </w:rPr>
        <w:t xml:space="preserve">Em 2023 a Telebras concluiu a migração da rede corporativa do Instituto Nacional do Seguro Social (INSS), de </w:t>
      </w:r>
      <w:r w:rsidR="001221BD">
        <w:rPr>
          <w:rFonts w:cs="Arial"/>
          <w:sz w:val="22"/>
          <w:szCs w:val="22"/>
        </w:rPr>
        <w:t>mais de</w:t>
      </w:r>
      <w:r w:rsidR="001221BD" w:rsidRPr="00E10DDB">
        <w:rPr>
          <w:rFonts w:cs="Arial"/>
          <w:sz w:val="22"/>
          <w:szCs w:val="22"/>
        </w:rPr>
        <w:t xml:space="preserve"> </w:t>
      </w:r>
      <w:r w:rsidRPr="00E10DDB">
        <w:rPr>
          <w:rFonts w:cs="Arial"/>
          <w:sz w:val="22"/>
          <w:szCs w:val="22"/>
        </w:rPr>
        <w:t>1.</w:t>
      </w:r>
      <w:r w:rsidR="001221BD">
        <w:rPr>
          <w:rFonts w:cs="Arial"/>
          <w:sz w:val="22"/>
          <w:szCs w:val="22"/>
        </w:rPr>
        <w:t>6</w:t>
      </w:r>
      <w:r w:rsidR="001221BD" w:rsidRPr="00E10DDB">
        <w:rPr>
          <w:rFonts w:cs="Arial"/>
          <w:sz w:val="22"/>
          <w:szCs w:val="22"/>
        </w:rPr>
        <w:t xml:space="preserve">00 </w:t>
      </w:r>
      <w:r w:rsidRPr="00E10DDB">
        <w:rPr>
          <w:rFonts w:cs="Arial"/>
          <w:sz w:val="22"/>
          <w:szCs w:val="22"/>
        </w:rPr>
        <w:t>pontos em todo o território nacional, de uma topologia baseada na tecnologia MPLS (</w:t>
      </w:r>
      <w:proofErr w:type="spellStart"/>
      <w:r w:rsidRPr="00E10DDB">
        <w:rPr>
          <w:rFonts w:cs="Arial"/>
          <w:i/>
          <w:sz w:val="22"/>
          <w:szCs w:val="22"/>
        </w:rPr>
        <w:t>Multiprotocol</w:t>
      </w:r>
      <w:proofErr w:type="spellEnd"/>
      <w:r w:rsidRPr="00E10DDB">
        <w:rPr>
          <w:rFonts w:cs="Arial"/>
          <w:i/>
          <w:sz w:val="22"/>
          <w:szCs w:val="22"/>
        </w:rPr>
        <w:t xml:space="preserve"> </w:t>
      </w:r>
      <w:proofErr w:type="spellStart"/>
      <w:r w:rsidRPr="00E10DDB">
        <w:rPr>
          <w:rFonts w:cs="Arial"/>
          <w:i/>
          <w:sz w:val="22"/>
          <w:szCs w:val="22"/>
        </w:rPr>
        <w:t>Label</w:t>
      </w:r>
      <w:proofErr w:type="spellEnd"/>
      <w:r w:rsidRPr="00E10DDB">
        <w:rPr>
          <w:rFonts w:cs="Arial"/>
          <w:i/>
          <w:sz w:val="22"/>
          <w:szCs w:val="22"/>
        </w:rPr>
        <w:t xml:space="preserve"> </w:t>
      </w:r>
      <w:proofErr w:type="spellStart"/>
      <w:r w:rsidRPr="00E10DDB">
        <w:rPr>
          <w:rFonts w:cs="Arial"/>
          <w:i/>
          <w:sz w:val="22"/>
          <w:szCs w:val="22"/>
        </w:rPr>
        <w:t>Switching</w:t>
      </w:r>
      <w:proofErr w:type="spellEnd"/>
      <w:r w:rsidRPr="00E10DDB">
        <w:rPr>
          <w:rFonts w:cs="Arial"/>
          <w:sz w:val="22"/>
          <w:szCs w:val="22"/>
        </w:rPr>
        <w:t>) para uma topologia baseada na tecnologia SD-WAN (</w:t>
      </w:r>
      <w:r w:rsidRPr="00E10DDB">
        <w:rPr>
          <w:rFonts w:cs="Arial"/>
          <w:i/>
          <w:sz w:val="22"/>
          <w:szCs w:val="22"/>
        </w:rPr>
        <w:t>Software-</w:t>
      </w:r>
      <w:proofErr w:type="spellStart"/>
      <w:r w:rsidRPr="00E10DDB">
        <w:rPr>
          <w:rFonts w:cs="Arial"/>
          <w:i/>
          <w:sz w:val="22"/>
          <w:szCs w:val="22"/>
        </w:rPr>
        <w:t>Defined</w:t>
      </w:r>
      <w:proofErr w:type="spellEnd"/>
      <w:r w:rsidRPr="00E10DDB">
        <w:rPr>
          <w:rFonts w:cs="Arial"/>
          <w:i/>
          <w:sz w:val="22"/>
          <w:szCs w:val="22"/>
        </w:rPr>
        <w:t xml:space="preserve"> </w:t>
      </w:r>
      <w:proofErr w:type="spellStart"/>
      <w:r w:rsidRPr="00E10DDB">
        <w:rPr>
          <w:rFonts w:cs="Arial"/>
          <w:i/>
          <w:sz w:val="22"/>
          <w:szCs w:val="22"/>
        </w:rPr>
        <w:t>Wide</w:t>
      </w:r>
      <w:proofErr w:type="spellEnd"/>
      <w:r w:rsidRPr="00E10DDB">
        <w:rPr>
          <w:rFonts w:cs="Arial"/>
          <w:i/>
          <w:sz w:val="22"/>
          <w:szCs w:val="22"/>
        </w:rPr>
        <w:t xml:space="preserve"> Area Network</w:t>
      </w:r>
      <w:r w:rsidRPr="00E10DDB">
        <w:rPr>
          <w:rFonts w:cs="Arial"/>
          <w:sz w:val="22"/>
          <w:szCs w:val="22"/>
        </w:rPr>
        <w:t xml:space="preserve">), totalmente baseada na rede IP. As migrações </w:t>
      </w:r>
      <w:r w:rsidR="00160CB0" w:rsidRPr="00E10DDB">
        <w:rPr>
          <w:rFonts w:cs="Arial"/>
          <w:sz w:val="22"/>
          <w:szCs w:val="22"/>
        </w:rPr>
        <w:t>atenderam os prazos contratuais firmados, com</w:t>
      </w:r>
      <w:r w:rsidRPr="00E10DDB">
        <w:rPr>
          <w:rFonts w:cs="Arial"/>
          <w:sz w:val="22"/>
          <w:szCs w:val="22"/>
        </w:rPr>
        <w:t xml:space="preserve"> </w:t>
      </w:r>
      <w:proofErr w:type="gramStart"/>
      <w:r w:rsidRPr="00E10DDB">
        <w:rPr>
          <w:rFonts w:cs="Arial"/>
          <w:sz w:val="22"/>
          <w:szCs w:val="22"/>
        </w:rPr>
        <w:t>todas Agências</w:t>
      </w:r>
      <w:proofErr w:type="gramEnd"/>
      <w:r w:rsidRPr="00E10DDB">
        <w:rPr>
          <w:rFonts w:cs="Arial"/>
          <w:sz w:val="22"/>
          <w:szCs w:val="22"/>
        </w:rPr>
        <w:t xml:space="preserve"> da Previdência Social conectadas com o estado da arte das redes corporativas de longa distância</w:t>
      </w:r>
      <w:r w:rsidR="00160CB0" w:rsidRPr="00E10DDB">
        <w:rPr>
          <w:rFonts w:cs="Arial"/>
          <w:sz w:val="22"/>
          <w:szCs w:val="22"/>
        </w:rPr>
        <w:t xml:space="preserve">, </w:t>
      </w:r>
      <w:r w:rsidR="00160CB0" w:rsidRPr="00E10DDB">
        <w:rPr>
          <w:rFonts w:eastAsia="Arial" w:cs="Arial"/>
          <w:sz w:val="22"/>
        </w:rPr>
        <w:t>fortalecendo a posição da empresa no mercado e demonstrou a capacidade de adaptação e resiliência.</w:t>
      </w:r>
    </w:p>
    <w:p w14:paraId="50DCD803" w14:textId="3BCAC8A3" w:rsidR="00160CB0" w:rsidRPr="00E10DDB" w:rsidRDefault="00160CB0" w:rsidP="00160CB0">
      <w:pPr>
        <w:spacing w:before="120" w:after="0" w:line="240" w:lineRule="auto"/>
        <w:rPr>
          <w:rFonts w:eastAsia="Arial" w:cs="Arial"/>
          <w:sz w:val="22"/>
        </w:rPr>
      </w:pPr>
      <w:r w:rsidRPr="00E10DDB">
        <w:rPr>
          <w:rFonts w:eastAsia="Arial" w:cs="Arial"/>
          <w:sz w:val="22"/>
        </w:rPr>
        <w:t>Além da renovação do contrato GESAC, desta</w:t>
      </w:r>
      <w:r w:rsidR="00E75E1C">
        <w:rPr>
          <w:rFonts w:eastAsia="Arial" w:cs="Arial"/>
          <w:sz w:val="22"/>
        </w:rPr>
        <w:t>ca</w:t>
      </w:r>
      <w:r w:rsidRPr="00E10DDB">
        <w:rPr>
          <w:rFonts w:eastAsia="Arial" w:cs="Arial"/>
          <w:sz w:val="22"/>
        </w:rPr>
        <w:t>m-se a renovação dos clientes: Instituto Chico Mendes de Conservação da Biodiversidade (</w:t>
      </w:r>
      <w:proofErr w:type="spellStart"/>
      <w:r w:rsidRPr="00E10DDB">
        <w:rPr>
          <w:rFonts w:eastAsia="Arial" w:cs="Arial"/>
          <w:sz w:val="22"/>
        </w:rPr>
        <w:t>ICMBio</w:t>
      </w:r>
      <w:proofErr w:type="spellEnd"/>
      <w:r w:rsidRPr="00E10DDB">
        <w:rPr>
          <w:rFonts w:eastAsia="Arial" w:cs="Arial"/>
          <w:sz w:val="22"/>
        </w:rPr>
        <w:t>), Comando Militar da Amazônia – (CMA), Policia Federal, Ministério da Defesa, Instituto de Pesquisa Econômica Aplicada (IPEA) e Fundação Banco do Brasil. Dentre os novos, destacamos: Departamento Nacional de Infraestrutura de Transportes (DNIT), Comando Militar do Norte, Departamento Nacional de Obras contra as Secas (DNOCS), e Ministério da Gestão e da Inovação em Serviços Públicos.</w:t>
      </w:r>
    </w:p>
    <w:p w14:paraId="14273E61" w14:textId="1513BE9E" w:rsidR="00160CB0" w:rsidRPr="00E10DDB" w:rsidRDefault="00160CB0" w:rsidP="00160CB0">
      <w:pPr>
        <w:spacing w:before="120" w:after="0" w:line="240" w:lineRule="auto"/>
        <w:rPr>
          <w:rFonts w:eastAsia="Arial" w:cs="Arial"/>
          <w:sz w:val="22"/>
        </w:rPr>
      </w:pPr>
      <w:r w:rsidRPr="00E10DDB">
        <w:rPr>
          <w:rFonts w:eastAsia="Arial" w:cs="Arial"/>
          <w:sz w:val="22"/>
        </w:rPr>
        <w:t>Em um cenário de acirrada oferta de links a preços altamente competitivos, a região nordeste impõe um desafio ao Escritório Regional de Fortaleza, fazendo valer a qualidade do link Telebras como diferencial. Em 2023, buscou-se a manutenção dos clientes atuais, bem como a expansão da carteira comercial. Clientes novos assinaram contratos para vendas com equipagem, como a SEA Telecom e WLAN</w:t>
      </w:r>
    </w:p>
    <w:p w14:paraId="7AF2F80F" w14:textId="7A4F7F48" w:rsidR="00160CB0" w:rsidRPr="00E10DDB" w:rsidRDefault="00160CB0" w:rsidP="00160CB0">
      <w:pPr>
        <w:spacing w:before="120" w:after="0" w:line="240" w:lineRule="auto"/>
        <w:rPr>
          <w:rFonts w:eastAsia="Arial" w:cs="Arial"/>
          <w:sz w:val="22"/>
          <w:szCs w:val="22"/>
        </w:rPr>
      </w:pPr>
      <w:r w:rsidRPr="00E10DDB">
        <w:rPr>
          <w:rFonts w:eastAsia="Arial" w:cs="Arial"/>
          <w:sz w:val="22"/>
          <w:szCs w:val="22"/>
        </w:rPr>
        <w:t xml:space="preserve">Na área de abrangência do Escritório Regional de Belém, o esforço contínuo para expansão da carteira e resultado, acabou sendo convertido por meio da ampliação do número de circuitos terrestres, com a celebração de contratos com clientes como Yasmin net, Future Digital e </w:t>
      </w:r>
      <w:proofErr w:type="spellStart"/>
      <w:r w:rsidRPr="00E10DDB">
        <w:rPr>
          <w:rFonts w:eastAsia="Arial" w:cs="Arial"/>
          <w:sz w:val="22"/>
          <w:szCs w:val="22"/>
        </w:rPr>
        <w:t>Freedom</w:t>
      </w:r>
      <w:proofErr w:type="spellEnd"/>
      <w:r w:rsidRPr="00E10DDB">
        <w:rPr>
          <w:rFonts w:eastAsia="Arial" w:cs="Arial"/>
          <w:sz w:val="22"/>
          <w:szCs w:val="22"/>
        </w:rPr>
        <w:t>. O destaque desse esforço na área satelital/governo se deu pela renovação do contrato com a Empresa de Tecnologia da Informação e Comunicação do Estado do Pará - PRODEPA.</w:t>
      </w:r>
    </w:p>
    <w:p w14:paraId="1DEFC166" w14:textId="77777777" w:rsidR="00D35D1C" w:rsidRPr="00E10DDB" w:rsidRDefault="00D35D1C" w:rsidP="00D35D1C">
      <w:pPr>
        <w:spacing w:before="120" w:after="0" w:line="240" w:lineRule="auto"/>
        <w:rPr>
          <w:rFonts w:eastAsia="Arial" w:cs="Arial"/>
          <w:sz w:val="22"/>
        </w:rPr>
      </w:pPr>
      <w:r w:rsidRPr="00E10DDB">
        <w:rPr>
          <w:rFonts w:eastAsia="Arial" w:cs="Arial"/>
          <w:sz w:val="22"/>
        </w:rPr>
        <w:t>Da mesma forma os Escritórios Regionais de São Paulo e Porto Alegre em sua área de atuação, manteve suas investidas para retenção e ampliação da carteira existente, assim como, empenho no aumento da penetração em localidades com menor nível de vendas, seja através de contratos de venda por equipagem, seja por meio de contratos de SVA.</w:t>
      </w:r>
    </w:p>
    <w:p w14:paraId="403DC48D" w14:textId="582A88EC" w:rsidR="00D35D1C" w:rsidRPr="00E10DDB" w:rsidRDefault="00D35D1C" w:rsidP="00E10DDB">
      <w:pPr>
        <w:spacing w:before="120" w:line="240" w:lineRule="auto"/>
        <w:rPr>
          <w:rFonts w:eastAsia="Arial" w:cs="Arial"/>
          <w:sz w:val="22"/>
          <w:szCs w:val="22"/>
        </w:rPr>
      </w:pPr>
      <w:r w:rsidRPr="00E10DDB">
        <w:rPr>
          <w:rFonts w:cs="Arial"/>
          <w:sz w:val="22"/>
          <w:szCs w:val="22"/>
        </w:rPr>
        <w:t>Todas as áreas de vendas da Telebras possuem exemplos significativos em termos de possibilidades de vendas que estão reprimidas e não se consolidaram durante o ano de 2023. Mantido o foco das áreas de vendas e atenção aos clientes envolvidos, será possível o atendimento às demandas, as convertendo em vendas e receitas para a Telebras, al</w:t>
      </w:r>
      <w:r w:rsidRPr="00E10DDB">
        <w:rPr>
          <w:rFonts w:eastAsia="Arial" w:cs="Arial"/>
          <w:sz w:val="22"/>
          <w:szCs w:val="22"/>
        </w:rPr>
        <w:t>ém do novo portfólio de soluções SVA planejadas.</w:t>
      </w:r>
    </w:p>
    <w:p w14:paraId="38DB3EEB" w14:textId="60AAFF4A" w:rsidR="00160CB0" w:rsidRPr="00E10DDB" w:rsidRDefault="00D35D1C" w:rsidP="00E10DDB">
      <w:pPr>
        <w:spacing w:before="120" w:after="0" w:line="240" w:lineRule="auto"/>
        <w:rPr>
          <w:rFonts w:eastAsia="Arial" w:cs="Arial"/>
          <w:sz w:val="22"/>
          <w:szCs w:val="22"/>
        </w:rPr>
      </w:pPr>
      <w:r w:rsidRPr="00E10DDB">
        <w:rPr>
          <w:rFonts w:eastAsia="Arial" w:cs="Arial"/>
          <w:sz w:val="22"/>
          <w:szCs w:val="22"/>
        </w:rPr>
        <w:t>Com relação ao atendimento dos clientes, houve uma reorganização da equipe de modo a dar vazão às tarefas relacionadas à implantação do novo contrato do INSS, bem como a operação do contrato GESAC, que é a maior receita da empresa, além de garantir o melhor atendimento aos demais clientes dos segmentos governo e privados (provedores).</w:t>
      </w:r>
    </w:p>
    <w:p w14:paraId="4B41BD73" w14:textId="77777777" w:rsidR="00250235" w:rsidRDefault="00250235" w:rsidP="006F4A93">
      <w:pPr>
        <w:spacing w:before="120" w:after="0" w:line="240" w:lineRule="auto"/>
        <w:rPr>
          <w:rFonts w:eastAsia="Arial" w:cs="Arial"/>
          <w:sz w:val="22"/>
          <w:highlight w:val="red"/>
        </w:rPr>
      </w:pPr>
    </w:p>
    <w:p w14:paraId="37C081C9" w14:textId="18FEAADD" w:rsidR="007D1C9C" w:rsidRPr="00180C94" w:rsidRDefault="002C2CC4" w:rsidP="00D0079B">
      <w:pPr>
        <w:pStyle w:val="Ttulo2"/>
        <w:spacing w:before="120" w:after="0"/>
        <w:ind w:left="567" w:hanging="510"/>
        <w:rPr>
          <w:sz w:val="22"/>
        </w:rPr>
      </w:pPr>
      <w:bookmarkStart w:id="425" w:name="_Toc161319459"/>
      <w:r w:rsidRPr="00180C94">
        <w:rPr>
          <w:sz w:val="22"/>
        </w:rPr>
        <w:t>Inovação e Desenvolvimento de Produtos e Serviços</w:t>
      </w:r>
      <w:bookmarkEnd w:id="425"/>
    </w:p>
    <w:p w14:paraId="7A369B0B" w14:textId="2C705540" w:rsidR="00247165" w:rsidRDefault="009C267A" w:rsidP="00247165">
      <w:pPr>
        <w:spacing w:before="120" w:after="0" w:line="240" w:lineRule="auto"/>
        <w:rPr>
          <w:rFonts w:eastAsia="Arial" w:cs="Arial"/>
          <w:sz w:val="22"/>
        </w:rPr>
      </w:pPr>
      <w:r w:rsidRPr="009C267A">
        <w:rPr>
          <w:rFonts w:eastAsia="Arial" w:cs="Arial"/>
          <w:sz w:val="22"/>
        </w:rPr>
        <w:t>Em 2023, a Telebras consolidou seu compromisso com a inovação e o desenvolvimento tecnológico, conforme delineado em seu Estatuto Social e no Plano Diretor Técnico-Operacional 2020-2024. Destacamos a implementação efetiva da Gerência de Inovação (GI), sob a Diretoria Técnico Operacional (DTO), essencial para promover um ambiente de Inovação Aberta e para sistematizar o avanço tecnológico.</w:t>
      </w:r>
      <w:r w:rsidR="00247165">
        <w:rPr>
          <w:rFonts w:eastAsia="Arial" w:cs="Arial"/>
          <w:sz w:val="22"/>
        </w:rPr>
        <w:br w:type="page"/>
      </w:r>
    </w:p>
    <w:p w14:paraId="0EE0473A" w14:textId="77777777" w:rsidR="00E61C75" w:rsidRPr="00E61C75" w:rsidRDefault="00E61C75" w:rsidP="00E61C75">
      <w:pPr>
        <w:spacing w:before="120" w:after="0" w:line="240" w:lineRule="auto"/>
        <w:rPr>
          <w:rFonts w:eastAsia="Arial" w:cs="Arial"/>
          <w:b/>
          <w:sz w:val="22"/>
        </w:rPr>
      </w:pPr>
      <w:r w:rsidRPr="00E61C75">
        <w:rPr>
          <w:rFonts w:eastAsia="Arial" w:cs="Arial"/>
          <w:b/>
          <w:sz w:val="22"/>
        </w:rPr>
        <w:lastRenderedPageBreak/>
        <w:t>Desenvolvimento da Rede Privativa de Comunicação da Administração Pública Federal</w:t>
      </w:r>
    </w:p>
    <w:p w14:paraId="5D585BF7" w14:textId="121E438A" w:rsidR="00E61C75" w:rsidRDefault="00E61C75" w:rsidP="00E61C75">
      <w:pPr>
        <w:spacing w:before="120" w:after="0" w:line="240" w:lineRule="auto"/>
        <w:rPr>
          <w:rFonts w:eastAsia="Arial" w:cs="Arial"/>
          <w:sz w:val="22"/>
        </w:rPr>
      </w:pPr>
      <w:r w:rsidRPr="00E61C75">
        <w:rPr>
          <w:rFonts w:eastAsia="Arial" w:cs="Arial"/>
          <w:sz w:val="22"/>
        </w:rPr>
        <w:t>Fortalecemos a segurança das comunicações governamentais ao concluir testes de criptografia essenciais para a implementação da Rede Privativa. Essa iniciativa garante uma infraestrutura de comunicação segura, alinhada com padrões rigorosos de segurança e privacidade.</w:t>
      </w:r>
    </w:p>
    <w:p w14:paraId="27790E4C" w14:textId="77777777" w:rsidR="00E61C75" w:rsidRDefault="00E61C75" w:rsidP="00E61C75">
      <w:pPr>
        <w:spacing w:before="120" w:after="0" w:line="240" w:lineRule="auto"/>
        <w:rPr>
          <w:rFonts w:eastAsia="Arial" w:cs="Arial"/>
          <w:b/>
          <w:sz w:val="22"/>
        </w:rPr>
      </w:pPr>
    </w:p>
    <w:p w14:paraId="21CCFDBB" w14:textId="1621BDBF" w:rsidR="00E61C75" w:rsidRPr="00E61C75" w:rsidRDefault="00E61C75" w:rsidP="00E61C75">
      <w:pPr>
        <w:spacing w:before="120" w:after="0" w:line="240" w:lineRule="auto"/>
        <w:rPr>
          <w:rFonts w:eastAsia="Arial" w:cs="Arial"/>
          <w:b/>
          <w:sz w:val="22"/>
        </w:rPr>
      </w:pPr>
      <w:r w:rsidRPr="00E61C75">
        <w:rPr>
          <w:rFonts w:eastAsia="Arial" w:cs="Arial"/>
          <w:b/>
          <w:sz w:val="22"/>
        </w:rPr>
        <w:t>Certificação de Empresa de Defesa</w:t>
      </w:r>
    </w:p>
    <w:p w14:paraId="2A4CCE78" w14:textId="36EA88B6" w:rsidR="00E61C75" w:rsidRDefault="00E61C75" w:rsidP="00E61C75">
      <w:pPr>
        <w:spacing w:before="120" w:after="0" w:line="240" w:lineRule="auto"/>
        <w:rPr>
          <w:rFonts w:eastAsia="Arial" w:cs="Arial"/>
          <w:sz w:val="22"/>
        </w:rPr>
      </w:pPr>
      <w:r w:rsidRPr="00E61C75">
        <w:rPr>
          <w:rFonts w:eastAsia="Arial" w:cs="Arial"/>
          <w:sz w:val="22"/>
        </w:rPr>
        <w:t xml:space="preserve">Obtivemos a certificação que nos coloca em posição </w:t>
      </w:r>
      <w:r>
        <w:rPr>
          <w:rFonts w:eastAsia="Arial" w:cs="Arial"/>
          <w:sz w:val="22"/>
        </w:rPr>
        <w:t>singular</w:t>
      </w:r>
      <w:r w:rsidRPr="00E61C75">
        <w:rPr>
          <w:rFonts w:eastAsia="Arial" w:cs="Arial"/>
          <w:sz w:val="22"/>
        </w:rPr>
        <w:t xml:space="preserve"> no mercado de defesa. Projetos inovadores, como o T3SAT, E-</w:t>
      </w:r>
      <w:proofErr w:type="spellStart"/>
      <w:r w:rsidRPr="00E61C75">
        <w:rPr>
          <w:rFonts w:eastAsia="Arial" w:cs="Arial"/>
          <w:sz w:val="22"/>
        </w:rPr>
        <w:t>LynX</w:t>
      </w:r>
      <w:proofErr w:type="spellEnd"/>
      <w:r w:rsidRPr="00E61C75">
        <w:rPr>
          <w:rFonts w:eastAsia="Arial" w:cs="Arial"/>
          <w:sz w:val="22"/>
        </w:rPr>
        <w:t>-Sat e nossas soluções de criptografia, são testemunhos do nosso avanço na tecnologia de defesa e segurança nacional.</w:t>
      </w:r>
    </w:p>
    <w:p w14:paraId="03C0FE2E" w14:textId="77777777" w:rsidR="00E61C75" w:rsidRDefault="00E61C75" w:rsidP="00E61C75">
      <w:pPr>
        <w:spacing w:before="120" w:after="0" w:line="240" w:lineRule="auto"/>
        <w:rPr>
          <w:rFonts w:eastAsia="Arial" w:cs="Arial"/>
          <w:b/>
          <w:sz w:val="22"/>
        </w:rPr>
      </w:pPr>
    </w:p>
    <w:p w14:paraId="5F99A8E2" w14:textId="2F524F82" w:rsidR="00E61C75" w:rsidRPr="00E61C75" w:rsidRDefault="00E61C75" w:rsidP="00E61C75">
      <w:pPr>
        <w:spacing w:before="120" w:after="0" w:line="240" w:lineRule="auto"/>
        <w:rPr>
          <w:rFonts w:eastAsia="Arial" w:cs="Arial"/>
          <w:b/>
          <w:sz w:val="22"/>
        </w:rPr>
      </w:pPr>
      <w:r w:rsidRPr="00E61C75">
        <w:rPr>
          <w:rFonts w:eastAsia="Arial" w:cs="Arial"/>
          <w:b/>
          <w:sz w:val="22"/>
        </w:rPr>
        <w:t>Lançamento do T3SAT 2.0</w:t>
      </w:r>
    </w:p>
    <w:p w14:paraId="468409BE" w14:textId="5C20E35A" w:rsidR="00E61C75" w:rsidRPr="00AE3EC3" w:rsidRDefault="00EB6C78" w:rsidP="00E61C75">
      <w:pPr>
        <w:spacing w:before="120" w:after="0" w:line="240" w:lineRule="auto"/>
        <w:rPr>
          <w:rFonts w:eastAsia="Arial" w:cs="Arial"/>
          <w:sz w:val="22"/>
        </w:rPr>
      </w:pPr>
      <w:r>
        <w:rPr>
          <w:rFonts w:eastAsia="Arial" w:cs="Arial"/>
          <w:sz w:val="22"/>
        </w:rPr>
        <w:t>D</w:t>
      </w:r>
      <w:r w:rsidRPr="00EB6C78">
        <w:rPr>
          <w:rFonts w:eastAsia="Arial" w:cs="Arial"/>
          <w:sz w:val="22"/>
        </w:rPr>
        <w:t>esenvolvemos e começamos a demonstrar aos clientes o T3SAT 2.0, um terminal satelital avançado, projetado para oferecer conectividade móvel em banda larga em todo o território nacional. Esse lançamento marca um importante passo em nossa oferta de serviços inovadores.</w:t>
      </w:r>
    </w:p>
    <w:p w14:paraId="7DB61DB7" w14:textId="77777777" w:rsidR="00EB6C78" w:rsidRDefault="00EB6C78" w:rsidP="00E61C75">
      <w:pPr>
        <w:spacing w:before="120" w:after="0" w:line="240" w:lineRule="auto"/>
        <w:rPr>
          <w:rFonts w:eastAsia="Arial" w:cs="Arial"/>
          <w:b/>
          <w:sz w:val="22"/>
        </w:rPr>
      </w:pPr>
    </w:p>
    <w:p w14:paraId="5276A5E0" w14:textId="7910345F" w:rsidR="00E61C75" w:rsidRPr="00EB6C78" w:rsidRDefault="00E61C75" w:rsidP="00E61C75">
      <w:pPr>
        <w:spacing w:before="120" w:after="0" w:line="240" w:lineRule="auto"/>
        <w:rPr>
          <w:rFonts w:eastAsia="Arial" w:cs="Arial"/>
          <w:b/>
          <w:sz w:val="22"/>
        </w:rPr>
      </w:pPr>
      <w:r w:rsidRPr="00EB6C78">
        <w:rPr>
          <w:rFonts w:eastAsia="Arial" w:cs="Arial"/>
          <w:b/>
          <w:sz w:val="22"/>
        </w:rPr>
        <w:t>Projeto Semear</w:t>
      </w:r>
    </w:p>
    <w:p w14:paraId="4F624BF2" w14:textId="4DE7F7C1" w:rsidR="00E61C75" w:rsidRDefault="00EB6C78" w:rsidP="00E61C75">
      <w:pPr>
        <w:spacing w:before="120" w:after="0" w:line="240" w:lineRule="auto"/>
        <w:rPr>
          <w:rFonts w:eastAsia="Arial" w:cs="Arial"/>
          <w:sz w:val="22"/>
        </w:rPr>
      </w:pPr>
      <w:r w:rsidRPr="00EB6C78">
        <w:rPr>
          <w:rFonts w:eastAsia="Arial" w:cs="Arial"/>
          <w:sz w:val="22"/>
        </w:rPr>
        <w:t>Em São Miguel Arcanjo/SP, realizamos um evento para apresentar os resultados da prova de conceito do Projeto Semear, uma iniciativa que nos coloca na vanguarda da agricultura inteligente, utilizando tecnologia IoT para otimizar a coleta e análise de dados agrícolas.</w:t>
      </w:r>
    </w:p>
    <w:p w14:paraId="57187F87" w14:textId="77777777" w:rsidR="00EB6C78" w:rsidRPr="00AE3EC3" w:rsidRDefault="00EB6C78" w:rsidP="00E61C75">
      <w:pPr>
        <w:spacing w:before="120" w:after="0" w:line="240" w:lineRule="auto"/>
        <w:rPr>
          <w:rFonts w:eastAsia="Arial" w:cs="Arial"/>
          <w:sz w:val="22"/>
        </w:rPr>
      </w:pPr>
    </w:p>
    <w:p w14:paraId="5CA02CEB" w14:textId="77777777" w:rsidR="00EB6C78" w:rsidRDefault="00E61C75" w:rsidP="00AE3EC3">
      <w:pPr>
        <w:spacing w:before="120" w:after="0" w:line="240" w:lineRule="auto"/>
        <w:rPr>
          <w:rFonts w:eastAsia="Arial" w:cs="Arial"/>
          <w:b/>
          <w:sz w:val="22"/>
        </w:rPr>
      </w:pPr>
      <w:r w:rsidRPr="00EB6C78">
        <w:rPr>
          <w:rFonts w:eastAsia="Arial" w:cs="Arial"/>
          <w:b/>
          <w:sz w:val="22"/>
        </w:rPr>
        <w:t xml:space="preserve">Integração da Plataforma </w:t>
      </w:r>
      <w:proofErr w:type="spellStart"/>
      <w:r w:rsidRPr="00EB6C78">
        <w:rPr>
          <w:rFonts w:eastAsia="Arial" w:cs="Arial"/>
          <w:b/>
          <w:sz w:val="22"/>
        </w:rPr>
        <w:t>WebVis</w:t>
      </w:r>
      <w:proofErr w:type="spellEnd"/>
    </w:p>
    <w:p w14:paraId="068DBA3E" w14:textId="08F93CDA" w:rsidR="00EB6C78" w:rsidRPr="00AE3EC3" w:rsidRDefault="00EB6C78" w:rsidP="00AE3EC3">
      <w:pPr>
        <w:spacing w:before="120" w:after="0" w:line="240" w:lineRule="auto"/>
        <w:rPr>
          <w:rFonts w:eastAsia="Arial" w:cs="Arial"/>
          <w:b/>
          <w:sz w:val="22"/>
        </w:rPr>
      </w:pPr>
      <w:r w:rsidRPr="00EB6C78">
        <w:rPr>
          <w:rFonts w:eastAsia="Arial" w:cs="Arial"/>
          <w:sz w:val="22"/>
        </w:rPr>
        <w:t xml:space="preserve">Com a integração bem-sucedida da </w:t>
      </w:r>
      <w:proofErr w:type="spellStart"/>
      <w:r w:rsidRPr="00EB6C78">
        <w:rPr>
          <w:rFonts w:eastAsia="Arial" w:cs="Arial"/>
          <w:sz w:val="22"/>
        </w:rPr>
        <w:t>WebVis</w:t>
      </w:r>
      <w:proofErr w:type="spellEnd"/>
      <w:r w:rsidRPr="00EB6C78">
        <w:rPr>
          <w:rFonts w:eastAsia="Arial" w:cs="Arial"/>
          <w:sz w:val="22"/>
        </w:rPr>
        <w:t xml:space="preserve"> em nosso Datacenter, expandimos significativamente nossa capacidade de fornecer análises geoespaciais avançadas, abrindo novas possibilidades em diversos setores, desde o monitoramento ambiental até a segurança nacional.</w:t>
      </w:r>
    </w:p>
    <w:p w14:paraId="0495B81C" w14:textId="77777777" w:rsidR="00E61C75" w:rsidRPr="00AE3EC3" w:rsidRDefault="00E61C75" w:rsidP="00E61C75">
      <w:pPr>
        <w:spacing w:before="120" w:after="0" w:line="240" w:lineRule="auto"/>
        <w:rPr>
          <w:rFonts w:eastAsia="Arial" w:cs="Arial"/>
          <w:sz w:val="22"/>
        </w:rPr>
      </w:pPr>
    </w:p>
    <w:p w14:paraId="7EC4C9B5" w14:textId="77777777" w:rsidR="00E61C75" w:rsidRPr="00EB6C78" w:rsidRDefault="00E61C75" w:rsidP="00E61C75">
      <w:pPr>
        <w:spacing w:before="120" w:after="0" w:line="240" w:lineRule="auto"/>
        <w:rPr>
          <w:rFonts w:eastAsia="Arial" w:cs="Arial"/>
          <w:b/>
          <w:sz w:val="22"/>
        </w:rPr>
      </w:pPr>
      <w:r w:rsidRPr="00EB6C78">
        <w:rPr>
          <w:rFonts w:eastAsia="Arial" w:cs="Arial"/>
          <w:b/>
          <w:sz w:val="22"/>
        </w:rPr>
        <w:t>Projeto E-</w:t>
      </w:r>
      <w:proofErr w:type="spellStart"/>
      <w:r w:rsidRPr="00EB6C78">
        <w:rPr>
          <w:rFonts w:eastAsia="Arial" w:cs="Arial"/>
          <w:b/>
          <w:sz w:val="22"/>
        </w:rPr>
        <w:t>LynX</w:t>
      </w:r>
      <w:proofErr w:type="spellEnd"/>
      <w:r w:rsidRPr="00EB6C78">
        <w:rPr>
          <w:rFonts w:eastAsia="Arial" w:cs="Arial"/>
          <w:b/>
          <w:sz w:val="22"/>
        </w:rPr>
        <w:t>-Sat</w:t>
      </w:r>
    </w:p>
    <w:p w14:paraId="35739AAF" w14:textId="6131C159" w:rsidR="00E61C75" w:rsidRPr="00AE3EC3" w:rsidRDefault="00EB6C78" w:rsidP="00E61C75">
      <w:pPr>
        <w:spacing w:before="120" w:after="0" w:line="240" w:lineRule="auto"/>
        <w:rPr>
          <w:rFonts w:eastAsia="Arial" w:cs="Arial"/>
          <w:sz w:val="22"/>
        </w:rPr>
      </w:pPr>
      <w:r>
        <w:rPr>
          <w:rFonts w:eastAsia="Arial" w:cs="Arial"/>
          <w:sz w:val="22"/>
        </w:rPr>
        <w:t>A</w:t>
      </w:r>
      <w:r w:rsidRPr="00EB6C78">
        <w:rPr>
          <w:rFonts w:eastAsia="Arial" w:cs="Arial"/>
          <w:sz w:val="22"/>
        </w:rPr>
        <w:t>profundamos nosso trabalho no E-</w:t>
      </w:r>
      <w:proofErr w:type="spellStart"/>
      <w:r w:rsidRPr="00EB6C78">
        <w:rPr>
          <w:rFonts w:eastAsia="Arial" w:cs="Arial"/>
          <w:sz w:val="22"/>
        </w:rPr>
        <w:t>LynX</w:t>
      </w:r>
      <w:proofErr w:type="spellEnd"/>
      <w:r w:rsidRPr="00EB6C78">
        <w:rPr>
          <w:rFonts w:eastAsia="Arial" w:cs="Arial"/>
          <w:sz w:val="22"/>
        </w:rPr>
        <w:t>-Sat, uma solução de comunicação móvel via satélite para voz e dados, apresentando-a a importantes parceiros governamentais. Este projeto sublinha nossa liderança em oferecer soluções de comunicação seguras e eficazes.</w:t>
      </w:r>
    </w:p>
    <w:p w14:paraId="2F01F05C" w14:textId="77777777" w:rsidR="00E61C75" w:rsidRPr="00EB6C78" w:rsidRDefault="00E61C75" w:rsidP="00E61C75">
      <w:pPr>
        <w:spacing w:before="120" w:after="0" w:line="240" w:lineRule="auto"/>
        <w:rPr>
          <w:rFonts w:eastAsia="Arial" w:cs="Arial"/>
          <w:b/>
          <w:sz w:val="22"/>
        </w:rPr>
      </w:pPr>
      <w:r w:rsidRPr="00EB6C78">
        <w:rPr>
          <w:rFonts w:eastAsia="Arial" w:cs="Arial"/>
          <w:b/>
          <w:sz w:val="22"/>
        </w:rPr>
        <w:t>Soluções de Valor Agregado (SVA)</w:t>
      </w:r>
    </w:p>
    <w:p w14:paraId="74D39887" w14:textId="396166E7" w:rsidR="00EB6C78" w:rsidRDefault="00EB6C78" w:rsidP="00A4094A">
      <w:pPr>
        <w:spacing w:after="0" w:line="240" w:lineRule="auto"/>
        <w:rPr>
          <w:rFonts w:eastAsia="Arial" w:cs="Arial"/>
          <w:sz w:val="22"/>
        </w:rPr>
      </w:pPr>
      <w:r>
        <w:rPr>
          <w:rFonts w:eastAsia="Arial" w:cs="Arial"/>
          <w:sz w:val="22"/>
        </w:rPr>
        <w:t>A Companhia</w:t>
      </w:r>
      <w:r w:rsidRPr="00EB6C78">
        <w:rPr>
          <w:rFonts w:eastAsia="Arial" w:cs="Arial"/>
          <w:sz w:val="22"/>
        </w:rPr>
        <w:t xml:space="preserve"> avançou no desenvolvimento de soluções de SVA, como Imageamento e Backup, marcando o início da exploração de novas oportunidades no setor público e reafirmando nosso papel como fornecedor líder de soluções de infraestrutura e TI.</w:t>
      </w:r>
    </w:p>
    <w:p w14:paraId="7A88D837" w14:textId="2F826FD3" w:rsidR="007D1C9C" w:rsidRPr="00A4094A" w:rsidRDefault="00E61C75" w:rsidP="00A4094A">
      <w:pPr>
        <w:spacing w:after="0" w:line="240" w:lineRule="auto"/>
        <w:rPr>
          <w:rFonts w:eastAsia="Arial" w:cs="Arial"/>
          <w:sz w:val="22"/>
          <w:szCs w:val="22"/>
          <w:highlight w:val="red"/>
        </w:rPr>
        <w:sectPr w:rsidR="007D1C9C" w:rsidRPr="00A4094A" w:rsidSect="000A5177">
          <w:headerReference w:type="default" r:id="rId35"/>
          <w:footerReference w:type="default" r:id="rId36"/>
          <w:headerReference w:type="first" r:id="rId37"/>
          <w:footerReference w:type="first" r:id="rId38"/>
          <w:pgSz w:w="11907" w:h="16840" w:code="9"/>
          <w:pgMar w:top="1701" w:right="1134" w:bottom="1531" w:left="1701" w:header="454" w:footer="397" w:gutter="0"/>
          <w:cols w:space="708"/>
          <w:titlePg/>
          <w:docGrid w:linePitch="360"/>
        </w:sectPr>
      </w:pPr>
      <w:r w:rsidRPr="00AE3EC3">
        <w:rPr>
          <w:rFonts w:eastAsia="Arial" w:cs="Arial"/>
          <w:sz w:val="22"/>
        </w:rPr>
        <w:t>Estes avanços em 2023 destacam o compromisso contínuo da Telebras com a inovação, a segurança e a excelência em tecnologia, visando atender às necessidades atuais e futuras de nossos clientes e do país.</w:t>
      </w:r>
    </w:p>
    <w:p w14:paraId="781816EF" w14:textId="66733A5C" w:rsidR="006B5A0B" w:rsidRPr="00A4094A" w:rsidRDefault="1589F5D7" w:rsidP="00CA1759">
      <w:pPr>
        <w:pStyle w:val="Ttulo1"/>
        <w:ind w:left="284" w:hanging="284"/>
      </w:pPr>
      <w:bookmarkStart w:id="426" w:name="_Toc161319460"/>
      <w:r w:rsidRPr="00A4094A">
        <w:lastRenderedPageBreak/>
        <w:t>Evolução da Rede de Telecomunicações</w:t>
      </w:r>
      <w:bookmarkEnd w:id="426"/>
    </w:p>
    <w:p w14:paraId="48A4B554" w14:textId="263B7687" w:rsidR="004532CE" w:rsidRPr="00A4094A" w:rsidRDefault="001B6AAA" w:rsidP="00A04613">
      <w:pPr>
        <w:pStyle w:val="Ttulo2"/>
        <w:spacing w:before="240" w:after="240" w:line="276" w:lineRule="auto"/>
        <w:ind w:left="567" w:hanging="567"/>
      </w:pPr>
      <w:bookmarkStart w:id="427" w:name="_Toc161319461"/>
      <w:r w:rsidRPr="00A4094A">
        <w:t>Rede Terrestre</w:t>
      </w:r>
      <w:bookmarkEnd w:id="427"/>
    </w:p>
    <w:p w14:paraId="796DB05E" w14:textId="69B1FF7F" w:rsidR="007F26B0" w:rsidRPr="007F26B0" w:rsidRDefault="007F26B0" w:rsidP="007F26B0">
      <w:pPr>
        <w:spacing w:before="120" w:line="240" w:lineRule="auto"/>
        <w:rPr>
          <w:sz w:val="22"/>
        </w:rPr>
      </w:pPr>
      <w:r w:rsidRPr="007F26B0">
        <w:rPr>
          <w:sz w:val="22"/>
        </w:rPr>
        <w:t xml:space="preserve">A rede da Telebras se estende por todo o Brasil, com um </w:t>
      </w:r>
      <w:proofErr w:type="spellStart"/>
      <w:r w:rsidRPr="007F26B0">
        <w:rPr>
          <w:sz w:val="22"/>
        </w:rPr>
        <w:t>backbone</w:t>
      </w:r>
      <w:proofErr w:type="spellEnd"/>
      <w:r w:rsidRPr="007F26B0">
        <w:rPr>
          <w:sz w:val="22"/>
        </w:rPr>
        <w:t xml:space="preserve"> nacional composto por </w:t>
      </w:r>
      <w:r w:rsidR="001338BD">
        <w:rPr>
          <w:sz w:val="22"/>
        </w:rPr>
        <w:t>30</w:t>
      </w:r>
      <w:r w:rsidRPr="007F26B0">
        <w:rPr>
          <w:sz w:val="22"/>
        </w:rPr>
        <w:t>.</w:t>
      </w:r>
      <w:r w:rsidR="001338BD">
        <w:rPr>
          <w:sz w:val="22"/>
        </w:rPr>
        <w:t>115</w:t>
      </w:r>
      <w:r w:rsidR="001338BD" w:rsidRPr="007F26B0">
        <w:rPr>
          <w:sz w:val="22"/>
        </w:rPr>
        <w:t xml:space="preserve"> </w:t>
      </w:r>
      <w:r w:rsidRPr="007F26B0">
        <w:rPr>
          <w:sz w:val="22"/>
        </w:rPr>
        <w:t>km de fibras ópticas. Essas fibras, que são o coração da nossa infraestrutura de conectividade, atravessam diversas regiões do país, usando principalmente cabos OPGW (</w:t>
      </w:r>
      <w:proofErr w:type="spellStart"/>
      <w:r w:rsidRPr="007F26B0">
        <w:rPr>
          <w:sz w:val="22"/>
        </w:rPr>
        <w:t>Optical</w:t>
      </w:r>
      <w:proofErr w:type="spellEnd"/>
      <w:r w:rsidRPr="007F26B0">
        <w:rPr>
          <w:sz w:val="22"/>
        </w:rPr>
        <w:t xml:space="preserve"> Ground Wire) ao longo das linhas de transmissão de energia elétrica. Além disso, a rede também se estende por gasodutos e rodovias, tanto estaduais quanto federais. Aqui está a composição detalhada da nossa rede:</w:t>
      </w:r>
    </w:p>
    <w:p w14:paraId="1CD6EA57" w14:textId="4E224BCA" w:rsidR="007F26B0" w:rsidRPr="00AE3EC3" w:rsidRDefault="007F26B0" w:rsidP="00AE3EC3">
      <w:pPr>
        <w:pStyle w:val="PargrafodaLista"/>
        <w:numPr>
          <w:ilvl w:val="0"/>
          <w:numId w:val="33"/>
        </w:numPr>
        <w:spacing w:before="120" w:line="240" w:lineRule="auto"/>
        <w:rPr>
          <w:sz w:val="22"/>
        </w:rPr>
      </w:pPr>
      <w:r w:rsidRPr="00AE3EC3">
        <w:rPr>
          <w:sz w:val="22"/>
        </w:rPr>
        <w:t>2.433</w:t>
      </w:r>
      <w:r w:rsidR="001338BD">
        <w:rPr>
          <w:sz w:val="22"/>
        </w:rPr>
        <w:t>,5</w:t>
      </w:r>
      <w:r w:rsidRPr="00AE3EC3">
        <w:rPr>
          <w:sz w:val="22"/>
        </w:rPr>
        <w:t xml:space="preserve"> km de fibras são de propriedade direta da Telebras</w:t>
      </w:r>
      <w:r w:rsidR="00947CC3" w:rsidRPr="00AE3EC3">
        <w:rPr>
          <w:sz w:val="22"/>
        </w:rPr>
        <w:t>;</w:t>
      </w:r>
    </w:p>
    <w:p w14:paraId="7BE8C419" w14:textId="2097AD79" w:rsidR="007F26B0" w:rsidRPr="00AE3EC3" w:rsidRDefault="007F26B0" w:rsidP="00AE3EC3">
      <w:pPr>
        <w:pStyle w:val="PargrafodaLista"/>
        <w:numPr>
          <w:ilvl w:val="0"/>
          <w:numId w:val="33"/>
        </w:numPr>
        <w:spacing w:before="120" w:line="240" w:lineRule="auto"/>
        <w:rPr>
          <w:sz w:val="22"/>
        </w:rPr>
      </w:pPr>
      <w:r w:rsidRPr="00AE3EC3">
        <w:rPr>
          <w:sz w:val="22"/>
        </w:rPr>
        <w:t>17.623</w:t>
      </w:r>
      <w:r w:rsidR="001338BD">
        <w:rPr>
          <w:sz w:val="22"/>
        </w:rPr>
        <w:t>,7</w:t>
      </w:r>
      <w:r w:rsidRPr="00AE3EC3">
        <w:rPr>
          <w:sz w:val="22"/>
        </w:rPr>
        <w:t xml:space="preserve"> km estão instalados em sistemas da Eletrobras</w:t>
      </w:r>
      <w:r w:rsidR="00947CC3" w:rsidRPr="00AE3EC3">
        <w:rPr>
          <w:sz w:val="22"/>
        </w:rPr>
        <w:t>;</w:t>
      </w:r>
    </w:p>
    <w:p w14:paraId="2BB7FF46" w14:textId="79E5CA3A" w:rsidR="007F26B0" w:rsidRDefault="007F26B0" w:rsidP="00AE3EC3">
      <w:pPr>
        <w:pStyle w:val="PargrafodaLista"/>
        <w:numPr>
          <w:ilvl w:val="0"/>
          <w:numId w:val="33"/>
        </w:numPr>
        <w:spacing w:before="120" w:line="240" w:lineRule="auto"/>
        <w:rPr>
          <w:sz w:val="22"/>
        </w:rPr>
      </w:pPr>
      <w:r w:rsidRPr="00AE3EC3">
        <w:rPr>
          <w:sz w:val="22"/>
        </w:rPr>
        <w:t>2.229</w:t>
      </w:r>
      <w:r w:rsidR="001338BD">
        <w:rPr>
          <w:sz w:val="22"/>
        </w:rPr>
        <w:t>,5</w:t>
      </w:r>
      <w:r w:rsidRPr="00AE3EC3">
        <w:rPr>
          <w:sz w:val="22"/>
        </w:rPr>
        <w:t xml:space="preserve"> km utiliza</w:t>
      </w:r>
      <w:r w:rsidR="00947CC3" w:rsidRPr="00AE3EC3">
        <w:rPr>
          <w:sz w:val="22"/>
        </w:rPr>
        <w:t>m a infraestrutura da Petrobras;</w:t>
      </w:r>
    </w:p>
    <w:p w14:paraId="7F8C13CB" w14:textId="79BEAB4D" w:rsidR="001338BD" w:rsidRPr="00AE3EC3" w:rsidRDefault="001338BD" w:rsidP="00AE3EC3">
      <w:pPr>
        <w:pStyle w:val="PargrafodaLista"/>
        <w:numPr>
          <w:ilvl w:val="0"/>
          <w:numId w:val="33"/>
        </w:numPr>
        <w:spacing w:before="120" w:line="240" w:lineRule="auto"/>
        <w:rPr>
          <w:sz w:val="22"/>
        </w:rPr>
      </w:pPr>
      <w:r>
        <w:rPr>
          <w:sz w:val="22"/>
        </w:rPr>
        <w:t xml:space="preserve">1235,0 km em cabos </w:t>
      </w:r>
      <w:proofErr w:type="spellStart"/>
      <w:r>
        <w:rPr>
          <w:sz w:val="22"/>
        </w:rPr>
        <w:t>subfluviais</w:t>
      </w:r>
      <w:proofErr w:type="spellEnd"/>
      <w:r>
        <w:rPr>
          <w:sz w:val="22"/>
        </w:rPr>
        <w:t>;</w:t>
      </w:r>
    </w:p>
    <w:p w14:paraId="4CC8F493" w14:textId="0A821604" w:rsidR="007F26B0" w:rsidRPr="00AE3EC3" w:rsidRDefault="007F26B0" w:rsidP="00AE3EC3">
      <w:pPr>
        <w:pStyle w:val="PargrafodaLista"/>
        <w:numPr>
          <w:ilvl w:val="0"/>
          <w:numId w:val="33"/>
        </w:numPr>
        <w:spacing w:before="120" w:line="240" w:lineRule="auto"/>
        <w:rPr>
          <w:sz w:val="22"/>
        </w:rPr>
      </w:pPr>
      <w:r w:rsidRPr="00AE3EC3">
        <w:rPr>
          <w:sz w:val="22"/>
        </w:rPr>
        <w:t>6.593</w:t>
      </w:r>
      <w:r w:rsidR="001338BD">
        <w:rPr>
          <w:sz w:val="22"/>
        </w:rPr>
        <w:t>,5</w:t>
      </w:r>
      <w:r w:rsidRPr="00AE3EC3">
        <w:rPr>
          <w:sz w:val="22"/>
        </w:rPr>
        <w:t xml:space="preserve"> km provêm de outras parcerias ou acordos de troca (swap).</w:t>
      </w:r>
    </w:p>
    <w:p w14:paraId="545B8491" w14:textId="44879507" w:rsidR="007F26B0" w:rsidRPr="007F26B0" w:rsidRDefault="001338BD" w:rsidP="007F26B0">
      <w:pPr>
        <w:spacing w:before="120" w:line="240" w:lineRule="auto"/>
        <w:rPr>
          <w:sz w:val="22"/>
        </w:rPr>
      </w:pPr>
      <w:r w:rsidRPr="001338BD">
        <w:rPr>
          <w:sz w:val="22"/>
        </w:rPr>
        <w:t>Encontra-se em fase de planejamento a incorporação de 586 km de novos trechos de fibra óptica, com a perspectiva de utilização</w:t>
      </w:r>
      <w:r w:rsidR="00CB607D">
        <w:rPr>
          <w:sz w:val="22"/>
        </w:rPr>
        <w:t xml:space="preserve"> de</w:t>
      </w:r>
      <w:r w:rsidRPr="001338BD">
        <w:rPr>
          <w:sz w:val="22"/>
        </w:rPr>
        <w:t xml:space="preserve"> novos cabos </w:t>
      </w:r>
      <w:proofErr w:type="spellStart"/>
      <w:r w:rsidRPr="001338BD">
        <w:rPr>
          <w:sz w:val="22"/>
        </w:rPr>
        <w:t>subfluviais</w:t>
      </w:r>
      <w:proofErr w:type="spellEnd"/>
      <w:r>
        <w:rPr>
          <w:sz w:val="22"/>
        </w:rPr>
        <w:t xml:space="preserve">. </w:t>
      </w:r>
      <w:r w:rsidR="007F26B0" w:rsidRPr="007F26B0">
        <w:rPr>
          <w:sz w:val="22"/>
        </w:rPr>
        <w:t>É importante notar que os números apresentados não incluem as conexões de última milha, que são fornecidas por diversas empresas parceiras nos locais atendidos pela Telebras, onde não temos rede metropolitana própria.</w:t>
      </w:r>
    </w:p>
    <w:p w14:paraId="3C0E20FA" w14:textId="4B8F9210" w:rsidR="007F26B0" w:rsidRDefault="007F26B0" w:rsidP="007F26B0">
      <w:pPr>
        <w:spacing w:before="120" w:line="240" w:lineRule="auto"/>
        <w:rPr>
          <w:rFonts w:cs="Arial"/>
          <w:noProof/>
          <w:lang w:eastAsia="pt-BR"/>
        </w:rPr>
      </w:pPr>
      <w:r w:rsidRPr="007F26B0">
        <w:rPr>
          <w:sz w:val="22"/>
        </w:rPr>
        <w:t xml:space="preserve">Para visualizar melhor nossa rede e os planos de expansão, confira o mapa a seguir, onde a rede atual está destacada em </w:t>
      </w:r>
      <w:r w:rsidR="001338BD">
        <w:rPr>
          <w:sz w:val="22"/>
        </w:rPr>
        <w:t>LARANJA</w:t>
      </w:r>
      <w:r w:rsidR="00E10DDB">
        <w:rPr>
          <w:sz w:val="22"/>
        </w:rPr>
        <w:t>.</w:t>
      </w:r>
      <w:r w:rsidRPr="007F26B0">
        <w:rPr>
          <w:rFonts w:cs="Arial"/>
          <w:noProof/>
          <w:lang w:eastAsia="pt-BR"/>
        </w:rPr>
        <w:t xml:space="preserve"> </w:t>
      </w:r>
    </w:p>
    <w:p w14:paraId="60186502" w14:textId="30D32920" w:rsidR="001004E8" w:rsidRPr="008B3C21" w:rsidRDefault="001338BD" w:rsidP="00AE3EC3">
      <w:pPr>
        <w:spacing w:before="120" w:line="240" w:lineRule="auto"/>
        <w:jc w:val="center"/>
        <w:rPr>
          <w:highlight w:val="green"/>
        </w:rPr>
      </w:pPr>
      <w:r w:rsidRPr="00691819">
        <w:rPr>
          <w:noProof/>
          <w:lang w:eastAsia="pt-BR"/>
        </w:rPr>
        <w:drawing>
          <wp:inline distT="0" distB="0" distL="0" distR="0" wp14:anchorId="29ED0A1C" wp14:editId="05A9AF70">
            <wp:extent cx="3337560" cy="320802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png"/>
                    <pic:cNvPicPr/>
                  </pic:nvPicPr>
                  <pic:blipFill rotWithShape="1">
                    <a:blip r:embed="rId39">
                      <a:extLst>
                        <a:ext uri="{28A0092B-C50C-407E-A947-70E740481C1C}">
                          <a14:useLocalDpi xmlns:a14="http://schemas.microsoft.com/office/drawing/2010/main" val="0"/>
                        </a:ext>
                      </a:extLst>
                    </a:blip>
                    <a:srcRect l="7089" t="24548" r="4203" b="14657"/>
                    <a:stretch/>
                  </pic:blipFill>
                  <pic:spPr bwMode="auto">
                    <a:xfrm>
                      <a:off x="0" y="0"/>
                      <a:ext cx="3337560" cy="3208020"/>
                    </a:xfrm>
                    <a:prstGeom prst="rect">
                      <a:avLst/>
                    </a:prstGeom>
                    <a:ln>
                      <a:noFill/>
                    </a:ln>
                    <a:extLst>
                      <a:ext uri="{53640926-AAD7-44D8-BBD7-CCE9431645EC}">
                        <a14:shadowObscured xmlns:a14="http://schemas.microsoft.com/office/drawing/2010/main"/>
                      </a:ext>
                    </a:extLst>
                  </pic:spPr>
                </pic:pic>
              </a:graphicData>
            </a:graphic>
          </wp:inline>
        </w:drawing>
      </w:r>
    </w:p>
    <w:p w14:paraId="22E7DA91" w14:textId="550512BC" w:rsidR="001004E8" w:rsidRPr="005763E0" w:rsidRDefault="001004E8" w:rsidP="001004E8">
      <w:pPr>
        <w:pStyle w:val="Legenda"/>
        <w:spacing w:before="0"/>
        <w:rPr>
          <w:rFonts w:cs="Arial"/>
        </w:rPr>
      </w:pPr>
      <w:bookmarkStart w:id="428" w:name="_Toc159258268"/>
      <w:r w:rsidRPr="005763E0">
        <w:t xml:space="preserve">Figura </w:t>
      </w:r>
      <w:r>
        <w:t>7</w:t>
      </w:r>
      <w:r w:rsidRPr="005763E0">
        <w:noBreakHyphen/>
      </w:r>
      <w:r w:rsidR="006F713F">
        <w:fldChar w:fldCharType="begin"/>
      </w:r>
      <w:r w:rsidR="006F713F">
        <w:instrText xml:space="preserve"> SEQ Figura \* ARABIC \s 1 </w:instrText>
      </w:r>
      <w:r w:rsidR="006F713F">
        <w:fldChar w:fldCharType="separate"/>
      </w:r>
      <w:r w:rsidR="009B5930">
        <w:rPr>
          <w:noProof/>
        </w:rPr>
        <w:t>1</w:t>
      </w:r>
      <w:r w:rsidR="006F713F">
        <w:rPr>
          <w:noProof/>
        </w:rPr>
        <w:fldChar w:fldCharType="end"/>
      </w:r>
      <w:r w:rsidRPr="005763E0">
        <w:t xml:space="preserve"> Rede Nacional</w:t>
      </w:r>
      <w:bookmarkEnd w:id="428"/>
    </w:p>
    <w:p w14:paraId="154E084C" w14:textId="1B46583C" w:rsidR="00947CC3" w:rsidRDefault="00947CC3" w:rsidP="00947CC3">
      <w:pPr>
        <w:spacing w:before="120" w:line="240" w:lineRule="auto"/>
        <w:rPr>
          <w:rFonts w:eastAsia="Arial"/>
          <w:sz w:val="22"/>
        </w:rPr>
      </w:pPr>
    </w:p>
    <w:p w14:paraId="2F6DEEDB" w14:textId="01181E46" w:rsidR="00947CC3" w:rsidRPr="00947CC3" w:rsidRDefault="00947CC3" w:rsidP="00947CC3">
      <w:pPr>
        <w:spacing w:before="120" w:line="240" w:lineRule="auto"/>
        <w:rPr>
          <w:rFonts w:eastAsia="Arial"/>
          <w:sz w:val="22"/>
        </w:rPr>
      </w:pPr>
      <w:r w:rsidRPr="00947CC3">
        <w:rPr>
          <w:rFonts w:eastAsia="Arial"/>
          <w:sz w:val="22"/>
        </w:rPr>
        <w:t>Em 2023, a Telebras realizou avanços significativos em seus projetos e operações, visando aprimorar e expandir sua infraestrutura de telecomunicações em todo o território nacional. Destacamos algumas das iniciativas mais importantes:</w:t>
      </w:r>
    </w:p>
    <w:p w14:paraId="277111AA" w14:textId="77777777" w:rsidR="00947CC3" w:rsidRPr="00947CC3" w:rsidRDefault="00947CC3" w:rsidP="00947CC3">
      <w:pPr>
        <w:spacing w:before="120" w:line="240" w:lineRule="auto"/>
        <w:rPr>
          <w:rFonts w:eastAsia="Arial"/>
          <w:sz w:val="22"/>
        </w:rPr>
      </w:pPr>
    </w:p>
    <w:p w14:paraId="37BF72E3" w14:textId="77777777" w:rsidR="00947CC3" w:rsidRPr="00947CC3" w:rsidRDefault="00947CC3" w:rsidP="00947CC3">
      <w:pPr>
        <w:spacing w:before="120" w:line="240" w:lineRule="auto"/>
        <w:rPr>
          <w:rFonts w:eastAsia="Arial"/>
          <w:sz w:val="22"/>
        </w:rPr>
      </w:pPr>
      <w:r w:rsidRPr="00AE3EC3">
        <w:rPr>
          <w:rFonts w:eastAsia="Arial"/>
          <w:b/>
          <w:sz w:val="22"/>
        </w:rPr>
        <w:lastRenderedPageBreak/>
        <w:t>Energização de Estações:</w:t>
      </w:r>
      <w:r w:rsidRPr="00947CC3">
        <w:rPr>
          <w:rFonts w:eastAsia="Arial"/>
          <w:sz w:val="22"/>
        </w:rPr>
        <w:t xml:space="preserve"> Estamos finalizando a contratação e implantação da energização definitiva para 19 estações que ainda dependiam de fontes externas, marcando um progresso essencial na autonomia operacional das nossas instalações.</w:t>
      </w:r>
    </w:p>
    <w:p w14:paraId="17F2C804" w14:textId="77777777" w:rsidR="00947CC3" w:rsidRPr="00947CC3" w:rsidRDefault="00947CC3" w:rsidP="00947CC3">
      <w:pPr>
        <w:spacing w:before="120" w:line="240" w:lineRule="auto"/>
        <w:rPr>
          <w:rFonts w:eastAsia="Arial"/>
          <w:sz w:val="22"/>
        </w:rPr>
      </w:pPr>
      <w:r w:rsidRPr="00AE3EC3">
        <w:rPr>
          <w:rFonts w:eastAsia="Arial"/>
          <w:b/>
          <w:sz w:val="22"/>
        </w:rPr>
        <w:t>Desenvolvimento Técnico:</w:t>
      </w:r>
      <w:r w:rsidRPr="00947CC3">
        <w:rPr>
          <w:rFonts w:eastAsia="Arial"/>
          <w:sz w:val="22"/>
        </w:rPr>
        <w:t xml:space="preserve"> Emitimos Notas Técnicas de Planejamento para orientar a implantação e o atendimento a clientes de circuitos de transmissão, além de expandir nosso </w:t>
      </w:r>
      <w:proofErr w:type="spellStart"/>
      <w:r w:rsidRPr="00947CC3">
        <w:rPr>
          <w:rFonts w:eastAsia="Arial"/>
          <w:sz w:val="22"/>
        </w:rPr>
        <w:t>backbone</w:t>
      </w:r>
      <w:proofErr w:type="spellEnd"/>
      <w:r w:rsidRPr="00947CC3">
        <w:rPr>
          <w:rFonts w:eastAsia="Arial"/>
          <w:sz w:val="22"/>
        </w:rPr>
        <w:t xml:space="preserve"> DWDM e desativar Estações de Transmissão Remota sem demanda comercial.</w:t>
      </w:r>
    </w:p>
    <w:p w14:paraId="2B0FE615" w14:textId="77777777" w:rsidR="00947CC3" w:rsidRPr="00947CC3" w:rsidRDefault="00947CC3" w:rsidP="00947CC3">
      <w:pPr>
        <w:spacing w:before="120" w:line="240" w:lineRule="auto"/>
        <w:rPr>
          <w:rFonts w:eastAsia="Arial"/>
          <w:sz w:val="22"/>
        </w:rPr>
      </w:pPr>
      <w:r w:rsidRPr="00AE3EC3">
        <w:rPr>
          <w:rFonts w:eastAsia="Arial"/>
          <w:b/>
          <w:sz w:val="22"/>
        </w:rPr>
        <w:t>Parceria com o Exército Brasileiro:</w:t>
      </w:r>
      <w:r w:rsidRPr="00947CC3">
        <w:rPr>
          <w:rFonts w:eastAsia="Arial"/>
          <w:sz w:val="22"/>
        </w:rPr>
        <w:t xml:space="preserve"> Em dezembro de 2022, firmamos um Termo de Cooperação Técnica com o Exército, visando unir esforços na implantação de infraestruturas de telecomunicações estratégicas para a Defesa Nacional e promover a inclusão digital na Amazônia Ocidental. Este acordo abriu caminho para o uso da rede óptica do Projeto Amazônia Conectada, além de futuras expansões.</w:t>
      </w:r>
    </w:p>
    <w:p w14:paraId="63C477B8" w14:textId="6C0CF727" w:rsidR="00947CC3" w:rsidRPr="00947CC3" w:rsidRDefault="00947CC3" w:rsidP="00947CC3">
      <w:pPr>
        <w:spacing w:before="120" w:line="240" w:lineRule="auto"/>
        <w:rPr>
          <w:rFonts w:eastAsia="Arial"/>
          <w:sz w:val="22"/>
        </w:rPr>
      </w:pPr>
      <w:r w:rsidRPr="00947CC3">
        <w:rPr>
          <w:rFonts w:eastAsia="Arial"/>
          <w:sz w:val="22"/>
        </w:rPr>
        <w:t>Realizamos inspeções técnicas em instalações do Projeto A</w:t>
      </w:r>
      <w:r w:rsidR="008F1F0C">
        <w:rPr>
          <w:rFonts w:eastAsia="Arial"/>
          <w:sz w:val="22"/>
        </w:rPr>
        <w:t xml:space="preserve">mazônia Conectada, preparando a rede </w:t>
      </w:r>
      <w:r w:rsidRPr="00947CC3">
        <w:rPr>
          <w:rFonts w:eastAsia="Arial"/>
          <w:sz w:val="22"/>
        </w:rPr>
        <w:t>para ativações de capacidade significativas e integrações de gestão de rede.</w:t>
      </w:r>
    </w:p>
    <w:p w14:paraId="0331AC42" w14:textId="77777777" w:rsidR="00947CC3" w:rsidRPr="00947CC3" w:rsidRDefault="00947CC3" w:rsidP="00947CC3">
      <w:pPr>
        <w:spacing w:before="120" w:line="240" w:lineRule="auto"/>
        <w:rPr>
          <w:rFonts w:eastAsia="Arial"/>
          <w:sz w:val="22"/>
        </w:rPr>
      </w:pPr>
      <w:r w:rsidRPr="00947CC3">
        <w:rPr>
          <w:rFonts w:eastAsia="Arial"/>
          <w:sz w:val="22"/>
        </w:rPr>
        <w:t>Implementamos infraestrutura crítica para ativar canais de 10 Gbps e 100 Gbps, atendendo às necessidades do Exército Brasileiro e expandindo nossa rede em Manaus.</w:t>
      </w:r>
    </w:p>
    <w:p w14:paraId="23AA0E5C" w14:textId="28E5BC29" w:rsidR="00947CC3" w:rsidRPr="00947CC3" w:rsidRDefault="00947CC3" w:rsidP="00947CC3">
      <w:pPr>
        <w:spacing w:before="120" w:line="240" w:lineRule="auto"/>
        <w:rPr>
          <w:rFonts w:eastAsia="Arial"/>
          <w:sz w:val="22"/>
        </w:rPr>
      </w:pPr>
      <w:r w:rsidRPr="00AE3EC3">
        <w:rPr>
          <w:rFonts w:eastAsia="Arial"/>
          <w:b/>
          <w:sz w:val="22"/>
        </w:rPr>
        <w:t>Atendimento ao INSS:</w:t>
      </w:r>
      <w:r w:rsidRPr="00947CC3">
        <w:rPr>
          <w:rFonts w:eastAsia="Arial"/>
          <w:sz w:val="22"/>
        </w:rPr>
        <w:t xml:space="preserve"> Concluímos a implantação de serviços para 1</w:t>
      </w:r>
      <w:r w:rsidR="00232661">
        <w:rPr>
          <w:rFonts w:eastAsia="Arial"/>
          <w:sz w:val="22"/>
        </w:rPr>
        <w:t>.</w:t>
      </w:r>
      <w:r w:rsidRPr="00947CC3">
        <w:rPr>
          <w:rFonts w:eastAsia="Arial"/>
          <w:sz w:val="22"/>
        </w:rPr>
        <w:t>656 pontos do INSS utilizando tecnologia SD-WAN, reforçando nosso compromisso com a prestação de serviços essenciais por meio de uma infraestrutura moderna e eficiente.</w:t>
      </w:r>
    </w:p>
    <w:p w14:paraId="63926D63" w14:textId="77777777" w:rsidR="00947CC3" w:rsidRPr="00947CC3" w:rsidRDefault="00947CC3" w:rsidP="00947CC3">
      <w:pPr>
        <w:spacing w:before="120" w:line="240" w:lineRule="auto"/>
        <w:rPr>
          <w:rFonts w:eastAsia="Arial"/>
          <w:sz w:val="22"/>
        </w:rPr>
      </w:pPr>
      <w:r w:rsidRPr="00AE3EC3">
        <w:rPr>
          <w:rFonts w:eastAsia="Arial"/>
          <w:b/>
          <w:sz w:val="22"/>
        </w:rPr>
        <w:t>Projeto 100 Gbps:</w:t>
      </w:r>
      <w:r w:rsidRPr="00947CC3">
        <w:rPr>
          <w:rFonts w:eastAsia="Arial"/>
          <w:sz w:val="22"/>
        </w:rPr>
        <w:t xml:space="preserve"> Em colaboração com a RNP, avançamos na implantação de canais de 100 Gbps em nosso </w:t>
      </w:r>
      <w:proofErr w:type="spellStart"/>
      <w:r w:rsidRPr="00947CC3">
        <w:rPr>
          <w:rFonts w:eastAsia="Arial"/>
          <w:sz w:val="22"/>
        </w:rPr>
        <w:t>backbone</w:t>
      </w:r>
      <w:proofErr w:type="spellEnd"/>
      <w:r w:rsidRPr="00947CC3">
        <w:rPr>
          <w:rFonts w:eastAsia="Arial"/>
          <w:sz w:val="22"/>
        </w:rPr>
        <w:t xml:space="preserve"> DWDM, com 85% do projeto já concluído. Esse esforço representa um salto qualitativo na capacidade e na qualidade da nossa rede.</w:t>
      </w:r>
    </w:p>
    <w:p w14:paraId="3039A3BE" w14:textId="77777777" w:rsidR="00947CC3" w:rsidRPr="00947CC3" w:rsidRDefault="00947CC3" w:rsidP="00947CC3">
      <w:pPr>
        <w:spacing w:before="120" w:line="240" w:lineRule="auto"/>
        <w:rPr>
          <w:rFonts w:eastAsia="Arial"/>
          <w:sz w:val="22"/>
        </w:rPr>
      </w:pPr>
      <w:r w:rsidRPr="00AE3EC3">
        <w:rPr>
          <w:rFonts w:eastAsia="Arial"/>
          <w:b/>
          <w:sz w:val="22"/>
        </w:rPr>
        <w:t>Infraestrutura e Expansão da Rede</w:t>
      </w:r>
      <w:r w:rsidRPr="00947CC3">
        <w:rPr>
          <w:rFonts w:eastAsia="Arial"/>
          <w:sz w:val="22"/>
        </w:rPr>
        <w:t xml:space="preserve">: Ampliamos significativamente nossa infraestrutura com a instalação de novos racks de espelhamento óptico e a implementação física de roteadores no </w:t>
      </w:r>
      <w:proofErr w:type="spellStart"/>
      <w:r w:rsidRPr="00947CC3">
        <w:rPr>
          <w:rFonts w:eastAsia="Arial"/>
          <w:sz w:val="22"/>
        </w:rPr>
        <w:t>backbone</w:t>
      </w:r>
      <w:proofErr w:type="spellEnd"/>
      <w:r w:rsidRPr="00947CC3">
        <w:rPr>
          <w:rFonts w:eastAsia="Arial"/>
          <w:sz w:val="22"/>
        </w:rPr>
        <w:t xml:space="preserve"> IP/MPLS, preparando a rede para futuras demandas e tecnologias.</w:t>
      </w:r>
    </w:p>
    <w:p w14:paraId="23E06A5B" w14:textId="2B0F8C3B" w:rsidR="00947CC3" w:rsidRPr="00947CC3" w:rsidRDefault="00947CC3" w:rsidP="00947CC3">
      <w:pPr>
        <w:spacing w:before="120" w:line="240" w:lineRule="auto"/>
        <w:rPr>
          <w:rFonts w:eastAsia="Arial"/>
          <w:sz w:val="22"/>
        </w:rPr>
      </w:pPr>
      <w:r w:rsidRPr="00AE3EC3">
        <w:rPr>
          <w:rFonts w:eastAsia="Arial"/>
          <w:b/>
          <w:sz w:val="22"/>
        </w:rPr>
        <w:t>Cobertura Nacional</w:t>
      </w:r>
      <w:r w:rsidRPr="00947CC3">
        <w:rPr>
          <w:rFonts w:eastAsia="Arial"/>
          <w:sz w:val="22"/>
        </w:rPr>
        <w:t>: Ao final de 2023, a rede terrestre da Telebras atingiu um potencial de cobertura impressionante, atendendo diretamente 499 municípios e indiretamente 1.420 municípios por meio de provedores de internet parceiros.</w:t>
      </w:r>
    </w:p>
    <w:p w14:paraId="0FF96FBF" w14:textId="77777777" w:rsidR="00947CC3" w:rsidRDefault="00947CC3" w:rsidP="00947CC3">
      <w:pPr>
        <w:spacing w:before="120" w:line="240" w:lineRule="auto"/>
        <w:rPr>
          <w:rFonts w:eastAsia="Arial"/>
          <w:sz w:val="22"/>
        </w:rPr>
      </w:pPr>
      <w:r w:rsidRPr="00947CC3">
        <w:rPr>
          <w:rFonts w:eastAsia="Arial"/>
          <w:sz w:val="22"/>
        </w:rPr>
        <w:t>Estas iniciativas refletem o compromisso contínuo da Telebras em fortalecer a infraestrutura de telecomunicações do Brasil, garantindo comunicações seguras e promovendo a inclusão digital em todo o país.</w:t>
      </w:r>
    </w:p>
    <w:p w14:paraId="3241631A" w14:textId="15250CBD" w:rsidR="004532CE" w:rsidRPr="00D45D69" w:rsidRDefault="00D77A54" w:rsidP="00A46BF3">
      <w:pPr>
        <w:pStyle w:val="Ttulo2"/>
        <w:spacing w:before="360" w:after="240" w:line="276" w:lineRule="auto"/>
        <w:ind w:left="567" w:hanging="567"/>
      </w:pPr>
      <w:bookmarkStart w:id="429" w:name="_Toc161319462"/>
      <w:r w:rsidRPr="00D45D69">
        <w:t>Satélite Geoestacionário de Defesa e Comunicações Estratégicas</w:t>
      </w:r>
      <w:bookmarkEnd w:id="429"/>
    </w:p>
    <w:p w14:paraId="519535E5" w14:textId="358815A6" w:rsidR="00260BC4" w:rsidRPr="00260BC4" w:rsidRDefault="001004E8" w:rsidP="00260BC4">
      <w:pPr>
        <w:spacing w:before="120" w:line="240" w:lineRule="auto"/>
        <w:ind w:firstLine="6"/>
        <w:rPr>
          <w:sz w:val="22"/>
          <w:szCs w:val="22"/>
        </w:rPr>
      </w:pPr>
      <w:r w:rsidRPr="0071171E">
        <w:rPr>
          <w:sz w:val="22"/>
          <w:szCs w:val="22"/>
        </w:rPr>
        <w:t>L</w:t>
      </w:r>
      <w:r w:rsidR="00260BC4" w:rsidRPr="00260BC4">
        <w:rPr>
          <w:sz w:val="22"/>
          <w:szCs w:val="22"/>
        </w:rPr>
        <w:t>ançado em maio de 2017, o Satélite Geoestacionário de Defesa e Comunicações Estratégicas (SGDC) é uma peça fundamental para a infraestrutura de telecomunicações do Brasil, proporcionando uma cobertura nacional homogênea de internet banda larga. Além de seu papel crucial na inclusão digital, o SGDC serve a propósitos de defesa nacional com suas duas cargas úteis distintas: uma para comunicações civis na banda Ka e outra para operações militares na banda X.</w:t>
      </w:r>
    </w:p>
    <w:p w14:paraId="3D3EDC0D" w14:textId="77777777" w:rsidR="00260BC4" w:rsidRPr="00260BC4" w:rsidRDefault="00260BC4" w:rsidP="00260BC4">
      <w:pPr>
        <w:spacing w:before="120" w:line="240" w:lineRule="auto"/>
        <w:ind w:firstLine="6"/>
        <w:rPr>
          <w:sz w:val="22"/>
          <w:szCs w:val="22"/>
        </w:rPr>
      </w:pPr>
      <w:r w:rsidRPr="00260BC4">
        <w:rPr>
          <w:sz w:val="22"/>
          <w:szCs w:val="22"/>
        </w:rPr>
        <w:t xml:space="preserve">Este satélite permite à Telebras ampliar significativamente o acesso à internet em banda larga para regiões remotas do país, incluindo escolas, unidades de saúde, postos de fronteira e aldeias indígenas, facilitando a comunicação em </w:t>
      </w:r>
      <w:proofErr w:type="gramStart"/>
      <w:r w:rsidRPr="00260BC4">
        <w:rPr>
          <w:sz w:val="22"/>
          <w:szCs w:val="22"/>
        </w:rPr>
        <w:t>situações de emergência</w:t>
      </w:r>
      <w:proofErr w:type="gramEnd"/>
      <w:r w:rsidRPr="00260BC4">
        <w:rPr>
          <w:sz w:val="22"/>
          <w:szCs w:val="22"/>
        </w:rPr>
        <w:t xml:space="preserve"> e promovendo a inclusão digital.</w:t>
      </w:r>
    </w:p>
    <w:p w14:paraId="536E573E" w14:textId="77777777" w:rsidR="00260BC4" w:rsidRDefault="00260BC4" w:rsidP="00260BC4">
      <w:pPr>
        <w:spacing w:before="120" w:line="240" w:lineRule="auto"/>
        <w:ind w:firstLine="6"/>
        <w:rPr>
          <w:sz w:val="22"/>
          <w:szCs w:val="22"/>
        </w:rPr>
      </w:pPr>
      <w:r w:rsidRPr="00260BC4">
        <w:rPr>
          <w:sz w:val="22"/>
          <w:szCs w:val="22"/>
        </w:rPr>
        <w:t xml:space="preserve">O sistema de operação do SGDC é apoiado por Centros de Operações Espaciais em Brasília (COPE-P) e no Rio de Janeiro (COPE-S). O COPE-P, localizado na capital, destaca-se por sua infraestrutura de missão crítica, sendo classificado como tolerante a falhas de acordo com a norma norte-americana ANSI/TIA e certificado TIER IV pelo </w:t>
      </w:r>
      <w:proofErr w:type="spellStart"/>
      <w:r w:rsidRPr="00260BC4">
        <w:rPr>
          <w:sz w:val="22"/>
          <w:szCs w:val="22"/>
        </w:rPr>
        <w:t>Uptime</w:t>
      </w:r>
      <w:proofErr w:type="spellEnd"/>
      <w:r w:rsidRPr="00260BC4">
        <w:rPr>
          <w:sz w:val="22"/>
          <w:szCs w:val="22"/>
        </w:rPr>
        <w:t xml:space="preserve"> </w:t>
      </w:r>
      <w:proofErr w:type="spellStart"/>
      <w:r w:rsidRPr="00260BC4">
        <w:rPr>
          <w:sz w:val="22"/>
          <w:szCs w:val="22"/>
        </w:rPr>
        <w:t>Institute</w:t>
      </w:r>
      <w:proofErr w:type="spellEnd"/>
      <w:r w:rsidRPr="00260BC4">
        <w:rPr>
          <w:sz w:val="22"/>
          <w:szCs w:val="22"/>
        </w:rPr>
        <w:t xml:space="preserve">. Esta certificação coloca o centro no mais alto nível </w:t>
      </w:r>
      <w:r w:rsidRPr="00260BC4">
        <w:rPr>
          <w:sz w:val="22"/>
          <w:szCs w:val="22"/>
        </w:rPr>
        <w:lastRenderedPageBreak/>
        <w:t>de resiliência, assegurando que a infraestrutura possa suportar interrupções sem impactar os serviços críticos de tecnologia da informação.</w:t>
      </w:r>
    </w:p>
    <w:p w14:paraId="53D3EC4A" w14:textId="77777777" w:rsidR="00260BC4" w:rsidRPr="00260BC4" w:rsidRDefault="00260BC4" w:rsidP="00260BC4">
      <w:pPr>
        <w:spacing w:before="120" w:line="240" w:lineRule="auto"/>
        <w:ind w:firstLine="6"/>
        <w:rPr>
          <w:sz w:val="22"/>
          <w:szCs w:val="22"/>
        </w:rPr>
      </w:pPr>
      <w:r w:rsidRPr="00260BC4">
        <w:rPr>
          <w:sz w:val="22"/>
          <w:szCs w:val="22"/>
        </w:rPr>
        <w:t>As Estações de Acesso, ou Gateways, distribuídas pelo país, facilitam a comunicação entre a rede terrestre e o satélite, controlando e otimizando o tráfego de dados. Localizadas em pontos estratégicos como Campo Grande, Florianópolis, Salvador, Brasília e Rio de Janeiro, essas estações garantem a eficiência e a segurança das comunicações via satélite.</w:t>
      </w:r>
    </w:p>
    <w:p w14:paraId="5DF805E6" w14:textId="11689374" w:rsidR="00260BC4" w:rsidRPr="00260BC4" w:rsidRDefault="00260BC4" w:rsidP="00260BC4">
      <w:pPr>
        <w:spacing w:before="120" w:line="240" w:lineRule="auto"/>
        <w:ind w:firstLine="6"/>
        <w:rPr>
          <w:sz w:val="22"/>
          <w:szCs w:val="22"/>
        </w:rPr>
      </w:pPr>
      <w:r w:rsidRPr="00260BC4">
        <w:rPr>
          <w:sz w:val="22"/>
          <w:szCs w:val="22"/>
        </w:rPr>
        <w:t>Complementando este sistema, as Estações de Monitoramento e Controle, presentes em várias regiões, monitoram continuamente os parâmetros do satélite para assegurar a integridade e o desempenho da rede.</w:t>
      </w:r>
    </w:p>
    <w:p w14:paraId="2242F397" w14:textId="36E7952D" w:rsidR="00260BC4" w:rsidRDefault="00260BC4" w:rsidP="001004E8">
      <w:pPr>
        <w:rPr>
          <w:sz w:val="22"/>
          <w:szCs w:val="22"/>
        </w:rPr>
      </w:pPr>
      <w:r w:rsidRPr="00260BC4">
        <w:rPr>
          <w:sz w:val="22"/>
          <w:szCs w:val="22"/>
        </w:rPr>
        <w:t xml:space="preserve">Os Terminais de Usuário, ou </w:t>
      </w:r>
      <w:proofErr w:type="spellStart"/>
      <w:r w:rsidRPr="00260BC4">
        <w:rPr>
          <w:sz w:val="22"/>
          <w:szCs w:val="22"/>
        </w:rPr>
        <w:t>VSATs</w:t>
      </w:r>
      <w:proofErr w:type="spellEnd"/>
      <w:r w:rsidRPr="00260BC4">
        <w:rPr>
          <w:sz w:val="22"/>
          <w:szCs w:val="22"/>
        </w:rPr>
        <w:t>, instalados em locais remotos, conectam-se diretamente ao SGDC, trazendo internet banda larga às comunidades mais isoladas através da Rede Nacional de Banda Larga da Telebras, reforçando o compromisso da empresa em conectar todo o território nacional e promover a inclusão digital.</w:t>
      </w:r>
    </w:p>
    <w:p w14:paraId="324FCA89" w14:textId="475EFD22" w:rsidR="00D02592" w:rsidRPr="00370757" w:rsidRDefault="000218A8" w:rsidP="00E66437">
      <w:pPr>
        <w:pStyle w:val="Ttulo2"/>
        <w:spacing w:before="240" w:after="240" w:line="276" w:lineRule="auto"/>
        <w:ind w:left="567" w:hanging="567"/>
      </w:pPr>
      <w:bookmarkStart w:id="430" w:name="_Toc161319463"/>
      <w:r w:rsidRPr="00370757">
        <w:t>Circuitos</w:t>
      </w:r>
      <w:r w:rsidR="00520790" w:rsidRPr="00370757">
        <w:t xml:space="preserve"> GESAC</w:t>
      </w:r>
      <w:bookmarkEnd w:id="430"/>
    </w:p>
    <w:p w14:paraId="64BBF2BD" w14:textId="026B72D9" w:rsidR="00E945C1" w:rsidRDefault="00E945C1" w:rsidP="00AE3EC3">
      <w:pPr>
        <w:spacing w:line="240" w:lineRule="auto"/>
        <w:rPr>
          <w:sz w:val="22"/>
          <w:szCs w:val="22"/>
        </w:rPr>
      </w:pPr>
      <w:r>
        <w:rPr>
          <w:sz w:val="22"/>
          <w:szCs w:val="22"/>
        </w:rPr>
        <w:t>É</w:t>
      </w:r>
      <w:r w:rsidRPr="00E945C1">
        <w:rPr>
          <w:sz w:val="22"/>
          <w:szCs w:val="22"/>
        </w:rPr>
        <w:t xml:space="preserve"> essencial entender a importância e o impacto do projeto Governo Eletrônico – Serviço de Atendimento ao Cidadão (GESAC) na estratégia e no valor da Telebras. O GESAC é uma iniciativa governamental que visa fornecer acesso à internet em banda larga para comunidades em áreas remotas e estratégicas do Brasil, promovendo a inclusão digital e o acesso a serviços públicos digitais.</w:t>
      </w:r>
    </w:p>
    <w:p w14:paraId="75BF84FC" w14:textId="64728869" w:rsidR="00E1024B" w:rsidRDefault="003C6E00" w:rsidP="003C6E00">
      <w:pPr>
        <w:spacing w:line="240" w:lineRule="auto"/>
        <w:rPr>
          <w:rFonts w:cs="Arial"/>
          <w:sz w:val="22"/>
        </w:rPr>
      </w:pPr>
      <w:r w:rsidRPr="00214EAA">
        <w:rPr>
          <w:rFonts w:cs="Arial"/>
          <w:sz w:val="22"/>
        </w:rPr>
        <w:t xml:space="preserve">A representação visual abaixo ilustra o acompanhamento acumulado ao longo do tempo do projeto GESAC, </w:t>
      </w:r>
      <w:r w:rsidR="00D87B65">
        <w:rPr>
          <w:rFonts w:cs="Arial"/>
          <w:sz w:val="22"/>
        </w:rPr>
        <w:t>d</w:t>
      </w:r>
      <w:r w:rsidR="00D87B65" w:rsidRPr="00D87B65">
        <w:rPr>
          <w:rFonts w:cs="Arial"/>
          <w:sz w:val="22"/>
        </w:rPr>
        <w:t xml:space="preserve">esde o primeiro trimestre de 2019, a iniciativa registrou uma </w:t>
      </w:r>
      <w:r w:rsidR="00D87B65">
        <w:rPr>
          <w:rFonts w:cs="Arial"/>
          <w:sz w:val="22"/>
        </w:rPr>
        <w:t>evolução</w:t>
      </w:r>
      <w:r w:rsidR="00D87B65" w:rsidRPr="00D87B65">
        <w:rPr>
          <w:rFonts w:cs="Arial"/>
          <w:sz w:val="22"/>
        </w:rPr>
        <w:t xml:space="preserve"> nas solicitações de novos pontos de acesso pelo Ministério das Comunicações (</w:t>
      </w:r>
      <w:proofErr w:type="spellStart"/>
      <w:r w:rsidR="00D87B65" w:rsidRPr="00D87B65">
        <w:rPr>
          <w:rFonts w:cs="Arial"/>
          <w:sz w:val="22"/>
        </w:rPr>
        <w:t>MCom</w:t>
      </w:r>
      <w:proofErr w:type="spellEnd"/>
      <w:r w:rsidR="00D87B65" w:rsidRPr="00D87B65">
        <w:rPr>
          <w:rFonts w:cs="Arial"/>
          <w:sz w:val="22"/>
        </w:rPr>
        <w:t>). No entanto, em 2023, o projeto demonstrou uma notável estabilidade nessas solicitações em comparação aos anos anteriores.</w:t>
      </w:r>
    </w:p>
    <w:p w14:paraId="10852ECA" w14:textId="50CB2CDC" w:rsidR="00E1024B" w:rsidRDefault="00A77D06" w:rsidP="003C6E00">
      <w:pPr>
        <w:spacing w:line="240" w:lineRule="auto"/>
        <w:rPr>
          <w:rFonts w:cs="Arial"/>
          <w:sz w:val="22"/>
        </w:rPr>
      </w:pPr>
      <w:r>
        <w:rPr>
          <w:noProof/>
          <w:lang w:eastAsia="pt-BR"/>
        </w:rPr>
        <w:drawing>
          <wp:inline distT="0" distB="0" distL="0" distR="0" wp14:anchorId="1D84E345" wp14:editId="0113D190">
            <wp:extent cx="5760720" cy="1985645"/>
            <wp:effectExtent l="0" t="0" r="0" b="0"/>
            <wp:docPr id="223537658" name="Gráfico 1">
              <a:extLst xmlns:a="http://schemas.openxmlformats.org/drawingml/2006/main">
                <a:ext uri="{FF2B5EF4-FFF2-40B4-BE49-F238E27FC236}">
                  <a16:creationId xmlns:a16="http://schemas.microsoft.com/office/drawing/2014/main" id="{00000000-0008-0000-0000-00000B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E3B4D10" w14:textId="1208E63D" w:rsidR="00E1024B" w:rsidRDefault="00E1024B" w:rsidP="00E1024B">
      <w:pPr>
        <w:pStyle w:val="Legenda"/>
      </w:pPr>
      <w:bookmarkStart w:id="431" w:name="_Toc159258277"/>
      <w:r w:rsidRPr="00CE6386">
        <w:t xml:space="preserve">Gráfico </w:t>
      </w:r>
      <w:r w:rsidR="006F713F">
        <w:fldChar w:fldCharType="begin"/>
      </w:r>
      <w:r w:rsidR="006F713F">
        <w:instrText xml:space="preserve"> STYLEREF 1 \s </w:instrText>
      </w:r>
      <w:r w:rsidR="006F713F">
        <w:fldChar w:fldCharType="separate"/>
      </w:r>
      <w:r w:rsidR="009B5930">
        <w:rPr>
          <w:noProof/>
        </w:rPr>
        <w:t>7</w:t>
      </w:r>
      <w:r w:rsidR="006F713F">
        <w:rPr>
          <w:noProof/>
        </w:rPr>
        <w:fldChar w:fldCharType="end"/>
      </w:r>
      <w:r w:rsidRPr="00CE6386">
        <w:noBreakHyphen/>
      </w:r>
      <w:r w:rsidR="006F713F">
        <w:fldChar w:fldCharType="begin"/>
      </w:r>
      <w:r w:rsidR="006F713F">
        <w:instrText xml:space="preserve"> SEQ Gráfico \* ARABIC \s 1 </w:instrText>
      </w:r>
      <w:r w:rsidR="006F713F">
        <w:fldChar w:fldCharType="separate"/>
      </w:r>
      <w:r w:rsidR="009B5930">
        <w:rPr>
          <w:noProof/>
        </w:rPr>
        <w:t>1</w:t>
      </w:r>
      <w:r w:rsidR="006F713F">
        <w:rPr>
          <w:noProof/>
        </w:rPr>
        <w:fldChar w:fldCharType="end"/>
      </w:r>
      <w:r w:rsidRPr="00CE6386">
        <w:t xml:space="preserve"> </w:t>
      </w:r>
      <w:r>
        <w:t>Projeto GESAC</w:t>
      </w:r>
      <w:bookmarkEnd w:id="431"/>
    </w:p>
    <w:p w14:paraId="2A46D553" w14:textId="011B1E7D" w:rsidR="00826EFF" w:rsidRPr="00826EFF" w:rsidRDefault="00582B22" w:rsidP="00582B22">
      <w:pPr>
        <w:spacing w:line="240" w:lineRule="auto"/>
      </w:pPr>
      <w:r w:rsidRPr="00582B22">
        <w:rPr>
          <w:sz w:val="22"/>
          <w:szCs w:val="22"/>
        </w:rPr>
        <w:t>Em 21 de dezembro de 2023, o Ministério das Comunicações (</w:t>
      </w:r>
      <w:proofErr w:type="spellStart"/>
      <w:r w:rsidRPr="00582B22">
        <w:rPr>
          <w:sz w:val="22"/>
          <w:szCs w:val="22"/>
        </w:rPr>
        <w:t>MCom</w:t>
      </w:r>
      <w:proofErr w:type="spellEnd"/>
      <w:r w:rsidRPr="00582B22">
        <w:rPr>
          <w:sz w:val="22"/>
          <w:szCs w:val="22"/>
        </w:rPr>
        <w:t xml:space="preserve">) confirmou a renovação do contrato com a Telebras para dar continuidade ao programa GESAC, fundamentado na Lei Nº 14.744, de 2023. Este acordo estratégico visa estabelecer 28 mil novos pontos de acesso à internet via satélite, focando em regiões remotas e comunidades em situação de vulnerabilidade social. A iniciativa é um marco na promoção da inclusão digital e na oferta de serviços essenciais, abrangendo escolas, unidades de saúde, comunidades indígenas, quilombolas, órgãos de segurança pública, postos de fronteira, além de programas de monitoramento ambiental na Amazônia. Outros beneficiários incluem </w:t>
      </w:r>
      <w:r w:rsidRPr="00582B22">
        <w:rPr>
          <w:sz w:val="22"/>
          <w:szCs w:val="22"/>
        </w:rPr>
        <w:lastRenderedPageBreak/>
        <w:t>os Centros de Referência de Assistência Social (CRAS), reforçando o compromisso do programa em assegurar conectividade e acesso à informação para todos, contribuindo significativamente para o desenvolvimento social e econômico das áreas atendidas.</w:t>
      </w:r>
    </w:p>
    <w:p w14:paraId="4AE707B1" w14:textId="0564DF67" w:rsidR="004532CE" w:rsidRPr="00CE6386" w:rsidRDefault="008C0623" w:rsidP="00A24589">
      <w:pPr>
        <w:pStyle w:val="Ttulo2"/>
        <w:spacing w:before="240" w:after="120" w:line="276" w:lineRule="auto"/>
        <w:ind w:left="567" w:hanging="567"/>
      </w:pPr>
      <w:bookmarkStart w:id="432" w:name="_Toc161319464"/>
      <w:r w:rsidRPr="00CE6386">
        <w:t>Operação e Manutenção</w:t>
      </w:r>
      <w:bookmarkEnd w:id="432"/>
    </w:p>
    <w:p w14:paraId="6441432D" w14:textId="4978F920" w:rsidR="00F92277" w:rsidRDefault="00F92277" w:rsidP="00F92277">
      <w:pPr>
        <w:rPr>
          <w:rFonts w:eastAsiaTheme="minorEastAsia"/>
          <w:sz w:val="22"/>
          <w:szCs w:val="22"/>
        </w:rPr>
      </w:pPr>
      <w:r w:rsidRPr="00F92277">
        <w:rPr>
          <w:rFonts w:eastAsiaTheme="minorEastAsia"/>
          <w:sz w:val="22"/>
          <w:szCs w:val="22"/>
        </w:rPr>
        <w:t>A Telebras mantém a excelência operacional de sua Rede Nacional de Telecomunicações através de uma combinação eficaz de manutenção de campo e operações centralizadas. No coração dessas operações está o Centro Integrado de Gerência de Rede (CIGR/NOC), estrategicamente localizado em Brasília. Este centro desempenha um papel crucial, sendo responsável por uma ampla gama de atividades essenciais para a manutenção da qualidade e confiabilidade da rede. Essas atividades incluem o monitoramento contínuo, a análise de desempenho e tráfego, o tratamento e escalonamento de incidentes, a aceitação de novas estações, a gestão de mudanças, a ativação, a configuração, e o gerenciamento proativo de clientes e circuitos de rede, tudo isso sob a orientação dos Níveis de Serviço Acordados (</w:t>
      </w:r>
      <w:proofErr w:type="spellStart"/>
      <w:r w:rsidRPr="00F92277">
        <w:rPr>
          <w:rFonts w:eastAsiaTheme="minorEastAsia"/>
          <w:sz w:val="22"/>
          <w:szCs w:val="22"/>
        </w:rPr>
        <w:t>SLAs</w:t>
      </w:r>
      <w:proofErr w:type="spellEnd"/>
      <w:r w:rsidRPr="00F92277">
        <w:rPr>
          <w:rFonts w:eastAsiaTheme="minorEastAsia"/>
          <w:sz w:val="22"/>
          <w:szCs w:val="22"/>
        </w:rPr>
        <w:t>).</w:t>
      </w:r>
    </w:p>
    <w:p w14:paraId="543DAA3C" w14:textId="77777777" w:rsidR="00F92277" w:rsidRPr="00F92277" w:rsidRDefault="00F92277" w:rsidP="00F92277">
      <w:pPr>
        <w:rPr>
          <w:rFonts w:eastAsiaTheme="minorEastAsia"/>
          <w:sz w:val="22"/>
          <w:szCs w:val="22"/>
        </w:rPr>
      </w:pPr>
      <w:r w:rsidRPr="00F92277">
        <w:rPr>
          <w:rFonts w:eastAsiaTheme="minorEastAsia"/>
          <w:sz w:val="22"/>
          <w:szCs w:val="22"/>
        </w:rPr>
        <w:t xml:space="preserve">Os </w:t>
      </w:r>
      <w:proofErr w:type="spellStart"/>
      <w:r w:rsidRPr="00F92277">
        <w:rPr>
          <w:rFonts w:eastAsiaTheme="minorEastAsia"/>
          <w:sz w:val="22"/>
          <w:szCs w:val="22"/>
        </w:rPr>
        <w:t>SLAs</w:t>
      </w:r>
      <w:proofErr w:type="spellEnd"/>
      <w:r w:rsidRPr="00F92277">
        <w:rPr>
          <w:rFonts w:eastAsiaTheme="minorEastAsia"/>
          <w:sz w:val="22"/>
          <w:szCs w:val="22"/>
        </w:rPr>
        <w:t xml:space="preserve"> são fundamentais para definir os padrões de serviço esperados e garantir a entrega de uma qualidade de serviço consistente e confiável. A monitoração desses níveis de serviço permite à Telebras uma gestão rigorosa da qualidade, assegurando que os altos padrões de serviço sejam atingidos e mantidos.</w:t>
      </w:r>
    </w:p>
    <w:p w14:paraId="6371C849" w14:textId="3429081A" w:rsidR="00F92277" w:rsidRDefault="00F92277" w:rsidP="00AE3EC3">
      <w:pPr>
        <w:keepNext/>
        <w:spacing w:line="276" w:lineRule="auto"/>
        <w:rPr>
          <w:noProof/>
          <w:lang w:eastAsia="pt-BR"/>
        </w:rPr>
      </w:pPr>
      <w:r w:rsidRPr="00F92277">
        <w:rPr>
          <w:rFonts w:eastAsiaTheme="minorEastAsia"/>
          <w:sz w:val="22"/>
          <w:szCs w:val="22"/>
        </w:rPr>
        <w:t>Refletindo o compromisso da Telebras com a excelência operacional, os dados dos últimos 12 meses mostram uma taxa de disponibilidade da rede de telecomunicações</w:t>
      </w:r>
      <w:r>
        <w:rPr>
          <w:rFonts w:eastAsiaTheme="minorEastAsia"/>
          <w:sz w:val="22"/>
          <w:szCs w:val="22"/>
        </w:rPr>
        <w:t xml:space="preserve"> de 99,86% em dezembro de 2023 conforme gráfico </w:t>
      </w:r>
      <w:r w:rsidR="00DF1443">
        <w:rPr>
          <w:rFonts w:eastAsiaTheme="minorEastAsia"/>
          <w:sz w:val="22"/>
          <w:szCs w:val="22"/>
        </w:rPr>
        <w:t>abaixo</w:t>
      </w:r>
      <w:r>
        <w:rPr>
          <w:rFonts w:eastAsiaTheme="minorEastAsia"/>
          <w:sz w:val="22"/>
          <w:szCs w:val="22"/>
        </w:rPr>
        <w:t xml:space="preserve">. </w:t>
      </w:r>
      <w:r w:rsidRPr="00F92277">
        <w:rPr>
          <w:rFonts w:eastAsiaTheme="minorEastAsia"/>
          <w:sz w:val="22"/>
          <w:szCs w:val="22"/>
        </w:rPr>
        <w:t xml:space="preserve">Este número não apenas excede as expectativas, mas também evidencia o </w:t>
      </w:r>
      <w:r w:rsidRPr="00F92277">
        <w:rPr>
          <w:rFonts w:eastAsiaTheme="minorEastAsia"/>
          <w:sz w:val="22"/>
          <w:szCs w:val="22"/>
        </w:rPr>
        <w:lastRenderedPageBreak/>
        <w:t>sucesso das estratégias de manutenção e operação da empresa em garantir uma infraestrutura de telecomunicações altamente confiável e disponível.</w:t>
      </w:r>
    </w:p>
    <w:p w14:paraId="5FA8C8F5" w14:textId="4122D80A" w:rsidR="00D263BF" w:rsidRPr="00CE6386" w:rsidRDefault="00CE6386" w:rsidP="00AE3EC3">
      <w:pPr>
        <w:keepNext/>
        <w:spacing w:line="276" w:lineRule="auto"/>
        <w:rPr>
          <w:sz w:val="22"/>
          <w:szCs w:val="22"/>
        </w:rPr>
      </w:pPr>
      <w:r>
        <w:rPr>
          <w:noProof/>
          <w:lang w:eastAsia="pt-BR"/>
        </w:rPr>
        <w:drawing>
          <wp:inline distT="0" distB="0" distL="0" distR="0" wp14:anchorId="5D2320DF" wp14:editId="31B61F47">
            <wp:extent cx="5760720" cy="3632200"/>
            <wp:effectExtent l="0" t="0" r="0" b="6350"/>
            <wp:docPr id="1665629075" name="Gráfico 1665629075">
              <a:extLst xmlns:a="http://schemas.openxmlformats.org/drawingml/2006/main">
                <a:ext uri="{FF2B5EF4-FFF2-40B4-BE49-F238E27FC236}">
                  <a16:creationId xmlns:a16="http://schemas.microsoft.com/office/drawing/2014/main" id="{00000000-0008-0000-01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043CD0B4" w14:textId="3CE61289" w:rsidR="00CE6386" w:rsidRPr="00CE6386" w:rsidRDefault="00CE6386" w:rsidP="00CE6386">
      <w:pPr>
        <w:pStyle w:val="Legenda"/>
      </w:pPr>
      <w:bookmarkStart w:id="433" w:name="_Toc159258278"/>
      <w:r w:rsidRPr="00CE6386">
        <w:t xml:space="preserve">Gráfico </w:t>
      </w:r>
      <w:r w:rsidR="006F713F">
        <w:fldChar w:fldCharType="begin"/>
      </w:r>
      <w:r w:rsidR="006F713F">
        <w:instrText xml:space="preserve"> STYLEREF 1 \s </w:instrText>
      </w:r>
      <w:r w:rsidR="006F713F">
        <w:fldChar w:fldCharType="separate"/>
      </w:r>
      <w:r w:rsidR="009B5930">
        <w:rPr>
          <w:noProof/>
        </w:rPr>
        <w:t>7</w:t>
      </w:r>
      <w:r w:rsidR="006F713F">
        <w:rPr>
          <w:noProof/>
        </w:rPr>
        <w:fldChar w:fldCharType="end"/>
      </w:r>
      <w:r w:rsidRPr="00CE6386">
        <w:noBreakHyphen/>
      </w:r>
      <w:r w:rsidR="006F713F">
        <w:fldChar w:fldCharType="begin"/>
      </w:r>
      <w:r w:rsidR="006F713F">
        <w:instrText xml:space="preserve"> SEQ Gráfico \* ARABIC \s 1 </w:instrText>
      </w:r>
      <w:r w:rsidR="006F713F">
        <w:fldChar w:fldCharType="separate"/>
      </w:r>
      <w:r w:rsidR="009B5930">
        <w:rPr>
          <w:noProof/>
        </w:rPr>
        <w:t>2</w:t>
      </w:r>
      <w:r w:rsidR="006F713F">
        <w:rPr>
          <w:noProof/>
        </w:rPr>
        <w:fldChar w:fldCharType="end"/>
      </w:r>
      <w:r w:rsidRPr="00CE6386">
        <w:t xml:space="preserve"> Nível de Serviço – Disponibilidade da Rede</w:t>
      </w:r>
      <w:bookmarkEnd w:id="433"/>
    </w:p>
    <w:p w14:paraId="2F003A9C" w14:textId="77777777" w:rsidR="00DF1443" w:rsidRPr="00DF1443" w:rsidRDefault="00DF1443" w:rsidP="00AE3EC3">
      <w:pPr>
        <w:spacing w:line="240" w:lineRule="auto"/>
        <w:rPr>
          <w:rFonts w:eastAsiaTheme="minorEastAsia"/>
          <w:sz w:val="22"/>
          <w:szCs w:val="22"/>
        </w:rPr>
      </w:pPr>
      <w:r w:rsidRPr="00DF1443">
        <w:rPr>
          <w:rFonts w:eastAsiaTheme="minorEastAsia"/>
          <w:sz w:val="22"/>
          <w:szCs w:val="22"/>
        </w:rPr>
        <w:t>Nos últimos 12 meses, a Telebras identificou os principais desafios que afetaram a operacionalidade de sua rede:</w:t>
      </w:r>
    </w:p>
    <w:p w14:paraId="43357767" w14:textId="452D6FD9" w:rsidR="00DF1443" w:rsidRPr="00DF1443" w:rsidRDefault="00DF1443" w:rsidP="00AE3EC3">
      <w:pPr>
        <w:spacing w:line="240" w:lineRule="auto"/>
        <w:rPr>
          <w:rFonts w:eastAsiaTheme="minorEastAsia"/>
          <w:sz w:val="22"/>
          <w:szCs w:val="22"/>
        </w:rPr>
      </w:pPr>
      <w:r w:rsidRPr="00AE3EC3">
        <w:rPr>
          <w:rFonts w:eastAsiaTheme="minorEastAsia"/>
          <w:b/>
          <w:sz w:val="22"/>
          <w:szCs w:val="22"/>
        </w:rPr>
        <w:t>Qualidade do Fornecimento de Energia Elétrica:</w:t>
      </w:r>
      <w:r w:rsidRPr="00DF1443">
        <w:rPr>
          <w:rFonts w:eastAsiaTheme="minorEastAsia"/>
          <w:sz w:val="22"/>
          <w:szCs w:val="22"/>
        </w:rPr>
        <w:t xml:space="preserve"> Flutuações e interrupções no fornecimento de energia elétrica resultaram na indisponibilidade temporária de estações e na degradação de componentes críticos da infraestrutura, incluindo bancos de baterias e sistemas de ar-condicionado. Tais eventos impactam diretamente a continuidade e a confiabilidade dos serviços oferecidos.</w:t>
      </w:r>
    </w:p>
    <w:p w14:paraId="753286BA" w14:textId="77777777" w:rsidR="00DF1443" w:rsidRPr="00DF1443" w:rsidRDefault="00DF1443" w:rsidP="00AE3EC3">
      <w:pPr>
        <w:spacing w:line="240" w:lineRule="auto"/>
        <w:rPr>
          <w:rFonts w:eastAsiaTheme="minorEastAsia"/>
          <w:sz w:val="22"/>
          <w:szCs w:val="22"/>
        </w:rPr>
      </w:pPr>
      <w:r w:rsidRPr="00AE3EC3">
        <w:rPr>
          <w:rFonts w:eastAsiaTheme="minorEastAsia"/>
          <w:b/>
          <w:sz w:val="22"/>
          <w:szCs w:val="22"/>
        </w:rPr>
        <w:t>Rompimentos de Fibra Óptica:</w:t>
      </w:r>
      <w:r w:rsidRPr="00DF1443">
        <w:rPr>
          <w:rFonts w:eastAsiaTheme="minorEastAsia"/>
          <w:sz w:val="22"/>
          <w:szCs w:val="22"/>
        </w:rPr>
        <w:t xml:space="preserve"> Incidentes envolvendo o rompimento de fibras ópticas em elementos da rede externa causaram interrupções significativas na rede </w:t>
      </w:r>
      <w:proofErr w:type="spellStart"/>
      <w:r w:rsidRPr="00DF1443">
        <w:rPr>
          <w:rFonts w:eastAsiaTheme="minorEastAsia"/>
          <w:sz w:val="22"/>
          <w:szCs w:val="22"/>
        </w:rPr>
        <w:t>backbone</w:t>
      </w:r>
      <w:proofErr w:type="spellEnd"/>
      <w:r w:rsidRPr="00DF1443">
        <w:rPr>
          <w:rFonts w:eastAsiaTheme="minorEastAsia"/>
          <w:sz w:val="22"/>
          <w:szCs w:val="22"/>
        </w:rPr>
        <w:t>. Esses eventos não apenas afetam a qualidade do serviço, mas também demandam esforços imediatos de reparo e recuperação para restabelecer a conectividade.</w:t>
      </w:r>
    </w:p>
    <w:p w14:paraId="5474C529" w14:textId="77777777" w:rsidR="00DF1443" w:rsidRPr="00DF1443" w:rsidRDefault="00DF1443" w:rsidP="00AE3EC3">
      <w:pPr>
        <w:spacing w:line="240" w:lineRule="auto"/>
        <w:rPr>
          <w:rFonts w:eastAsiaTheme="minorEastAsia"/>
          <w:sz w:val="22"/>
          <w:szCs w:val="22"/>
        </w:rPr>
      </w:pPr>
      <w:r w:rsidRPr="00AE3EC3">
        <w:rPr>
          <w:rFonts w:eastAsiaTheme="minorEastAsia"/>
          <w:b/>
          <w:sz w:val="22"/>
          <w:szCs w:val="22"/>
        </w:rPr>
        <w:t>Vandalismos:</w:t>
      </w:r>
      <w:r w:rsidRPr="00DF1443">
        <w:rPr>
          <w:rFonts w:eastAsiaTheme="minorEastAsia"/>
          <w:sz w:val="22"/>
          <w:szCs w:val="22"/>
        </w:rPr>
        <w:t xml:space="preserve"> Atos de vandalismo, incluindo furtos de baterias e cabos ópticos, bem como de cabos de alimentação de energia, representaram desafios adicionais à manutenção da infraestrutura. Essas ocorrências não apenas resultam em custos diretos de reposição e reparo, mas também em potenciais interrupções de serviço até que as infraestruturas afetadas sejam restauradas.</w:t>
      </w:r>
    </w:p>
    <w:p w14:paraId="7597CE38" w14:textId="3DFCCBF0" w:rsidR="00DF1443" w:rsidRPr="00DF1443" w:rsidRDefault="00DF1443" w:rsidP="00AE3EC3">
      <w:pPr>
        <w:spacing w:line="240" w:lineRule="auto"/>
        <w:rPr>
          <w:rFonts w:eastAsiaTheme="minorEastAsia"/>
          <w:sz w:val="22"/>
          <w:szCs w:val="22"/>
        </w:rPr>
      </w:pPr>
      <w:r w:rsidRPr="00DF1443">
        <w:rPr>
          <w:rFonts w:eastAsiaTheme="minorEastAsia"/>
          <w:sz w:val="22"/>
          <w:szCs w:val="22"/>
        </w:rPr>
        <w:t xml:space="preserve">Esses desafios sublinham a importância de estratégias robustas de manutenção, segurança e gestão de riscos por parte da Telebras. </w:t>
      </w:r>
    </w:p>
    <w:p w14:paraId="5F3A65BF" w14:textId="6C755E47" w:rsidR="00DF1443" w:rsidRDefault="00DF1443" w:rsidP="00AE3EC3">
      <w:pPr>
        <w:spacing w:line="240" w:lineRule="auto"/>
        <w:rPr>
          <w:rFonts w:eastAsiaTheme="minorEastAsia"/>
          <w:sz w:val="22"/>
          <w:szCs w:val="22"/>
        </w:rPr>
      </w:pPr>
      <w:r w:rsidRPr="00DF1443">
        <w:rPr>
          <w:rFonts w:eastAsiaTheme="minorEastAsia"/>
          <w:sz w:val="22"/>
          <w:szCs w:val="22"/>
        </w:rPr>
        <w:lastRenderedPageBreak/>
        <w:t>A Telebras continua a implementar medidas para fortalecer sua infraestrutura e melhorar a resiliência da rede, visando a manutenção de altos padrões de disponibilidade e a melhoria contínua da qualidade de serviço, alinhando-se assim com as expectativas de investidores e clientes.</w:t>
      </w:r>
    </w:p>
    <w:p w14:paraId="0B79C96B" w14:textId="15883C5A" w:rsidR="004532CE" w:rsidRPr="00646416" w:rsidRDefault="00966E35" w:rsidP="00A24589">
      <w:pPr>
        <w:pStyle w:val="Ttulo2"/>
        <w:spacing w:before="240" w:after="120" w:line="276" w:lineRule="auto"/>
        <w:ind w:left="567" w:hanging="567"/>
      </w:pPr>
      <w:bookmarkStart w:id="434" w:name="_Toc161319465"/>
      <w:r w:rsidRPr="00646416">
        <w:t>Tecnologia da Informação</w:t>
      </w:r>
      <w:bookmarkEnd w:id="434"/>
    </w:p>
    <w:p w14:paraId="798D1ECF" w14:textId="77777777" w:rsidR="009E0A56" w:rsidRPr="009E0A56" w:rsidRDefault="009E0A56" w:rsidP="009E0A56">
      <w:pPr>
        <w:spacing w:before="120" w:line="240" w:lineRule="auto"/>
        <w:rPr>
          <w:rFonts w:eastAsiaTheme="minorEastAsia"/>
          <w:sz w:val="22"/>
          <w:szCs w:val="22"/>
        </w:rPr>
      </w:pPr>
      <w:r w:rsidRPr="009E0A56">
        <w:rPr>
          <w:rFonts w:eastAsiaTheme="minorEastAsia"/>
          <w:sz w:val="22"/>
          <w:szCs w:val="22"/>
        </w:rPr>
        <w:t>A empresa realizou uma série de atualizações importantes em suas ferramentas de TI, que são fundamentais para melhorar a operacionalidade e atender às exigências de serviço. Aqui está uma visão detalhada dessas iniciativas:</w:t>
      </w:r>
    </w:p>
    <w:p w14:paraId="04CD5488" w14:textId="77777777" w:rsidR="009E0A56" w:rsidRPr="009E0A56" w:rsidRDefault="009E0A56" w:rsidP="009E0A56">
      <w:pPr>
        <w:spacing w:before="120" w:line="240" w:lineRule="auto"/>
        <w:rPr>
          <w:rFonts w:eastAsiaTheme="minorEastAsia"/>
          <w:sz w:val="22"/>
          <w:szCs w:val="22"/>
        </w:rPr>
      </w:pPr>
      <w:r w:rsidRPr="00AE3EC3">
        <w:rPr>
          <w:rFonts w:eastAsiaTheme="minorEastAsia"/>
          <w:b/>
          <w:sz w:val="22"/>
          <w:szCs w:val="22"/>
        </w:rPr>
        <w:t>Portal de Clientes:</w:t>
      </w:r>
      <w:r w:rsidRPr="009E0A56">
        <w:rPr>
          <w:rFonts w:eastAsiaTheme="minorEastAsia"/>
          <w:sz w:val="22"/>
          <w:szCs w:val="22"/>
        </w:rPr>
        <w:t xml:space="preserve"> Desenvolvemos um novo portal para oferecer um acompanhamento mais eficiente do serviço SD-WAN, proporcionando uma experiência aprimorada aos nossos clientes.</w:t>
      </w:r>
    </w:p>
    <w:p w14:paraId="543085C6" w14:textId="77777777" w:rsidR="009E0A56" w:rsidRPr="009E0A56" w:rsidRDefault="009E0A56" w:rsidP="009E0A56">
      <w:pPr>
        <w:spacing w:before="120" w:line="240" w:lineRule="auto"/>
        <w:rPr>
          <w:rFonts w:eastAsiaTheme="minorEastAsia"/>
          <w:sz w:val="22"/>
          <w:szCs w:val="22"/>
        </w:rPr>
      </w:pPr>
      <w:r w:rsidRPr="00AE3EC3">
        <w:rPr>
          <w:rFonts w:eastAsiaTheme="minorEastAsia"/>
          <w:b/>
          <w:sz w:val="22"/>
          <w:szCs w:val="22"/>
        </w:rPr>
        <w:t>SAP FIORI:</w:t>
      </w:r>
      <w:r w:rsidRPr="009E0A56">
        <w:rPr>
          <w:rFonts w:eastAsiaTheme="minorEastAsia"/>
          <w:sz w:val="22"/>
          <w:szCs w:val="22"/>
        </w:rPr>
        <w:t xml:space="preserve"> Esta ferramenta de gestão de pessoal foi atualizada para permitir que gestores realizem aprovações diretamente de seus dispositivos móveis, aumentando assim a agilidade e a flexibilidade nas operações de gestão.</w:t>
      </w:r>
    </w:p>
    <w:p w14:paraId="6488E8C0" w14:textId="77777777" w:rsidR="009E0A56" w:rsidRPr="009E0A56" w:rsidRDefault="009E0A56" w:rsidP="009E0A56">
      <w:pPr>
        <w:spacing w:before="120" w:line="240" w:lineRule="auto"/>
        <w:rPr>
          <w:rFonts w:eastAsiaTheme="minorEastAsia"/>
          <w:sz w:val="22"/>
          <w:szCs w:val="22"/>
        </w:rPr>
      </w:pPr>
      <w:r w:rsidRPr="00AE3EC3">
        <w:rPr>
          <w:rFonts w:eastAsiaTheme="minorEastAsia"/>
          <w:b/>
          <w:sz w:val="22"/>
          <w:szCs w:val="22"/>
        </w:rPr>
        <w:t>SAD (Sistema de Avaliação de Desempenho):</w:t>
      </w:r>
      <w:r w:rsidRPr="009E0A56">
        <w:rPr>
          <w:rFonts w:eastAsiaTheme="minorEastAsia"/>
          <w:sz w:val="22"/>
          <w:szCs w:val="22"/>
        </w:rPr>
        <w:t xml:space="preserve"> Modificações foram implementadas para facilitar o processo de avaliação de desempenho dos colaboradores em 2023, visando o aprimoramento contínuo da equipe.</w:t>
      </w:r>
    </w:p>
    <w:p w14:paraId="7355F632" w14:textId="77777777" w:rsidR="009E0A56" w:rsidRPr="009E0A56" w:rsidRDefault="009E0A56" w:rsidP="009E0A56">
      <w:pPr>
        <w:spacing w:before="120" w:line="240" w:lineRule="auto"/>
        <w:rPr>
          <w:rFonts w:eastAsiaTheme="minorEastAsia"/>
          <w:sz w:val="22"/>
          <w:szCs w:val="22"/>
        </w:rPr>
      </w:pPr>
      <w:r w:rsidRPr="00AE3EC3">
        <w:rPr>
          <w:rFonts w:eastAsiaTheme="minorEastAsia"/>
          <w:b/>
          <w:sz w:val="22"/>
          <w:szCs w:val="22"/>
        </w:rPr>
        <w:t>SIGA-DOC (Sistema de Gestão Administrativa de Documentos)</w:t>
      </w:r>
      <w:r w:rsidRPr="009E0A56">
        <w:rPr>
          <w:rFonts w:eastAsiaTheme="minorEastAsia"/>
          <w:sz w:val="22"/>
          <w:szCs w:val="22"/>
        </w:rPr>
        <w:t>: Uma versão atualizada foi disponibilizada, trazendo melhorias operacionais significativas.</w:t>
      </w:r>
    </w:p>
    <w:p w14:paraId="43D2E44F" w14:textId="77777777" w:rsidR="009E0A56" w:rsidRPr="009E0A56" w:rsidRDefault="009E0A56" w:rsidP="009E0A56">
      <w:pPr>
        <w:spacing w:before="120" w:line="240" w:lineRule="auto"/>
        <w:rPr>
          <w:rFonts w:eastAsiaTheme="minorEastAsia"/>
          <w:sz w:val="22"/>
          <w:szCs w:val="22"/>
        </w:rPr>
      </w:pPr>
      <w:r w:rsidRPr="00AE3EC3">
        <w:rPr>
          <w:rFonts w:eastAsiaTheme="minorEastAsia"/>
          <w:b/>
          <w:sz w:val="22"/>
          <w:szCs w:val="22"/>
        </w:rPr>
        <w:t>Ferramenta de Inventário de Planta de Telecomunicações:</w:t>
      </w:r>
      <w:r w:rsidRPr="009E0A56">
        <w:rPr>
          <w:rFonts w:eastAsiaTheme="minorEastAsia"/>
          <w:sz w:val="22"/>
          <w:szCs w:val="22"/>
        </w:rPr>
        <w:t xml:space="preserve"> Uma nova versão desta ferramenta foi disponibilizada, agora compatível com dispositivos móveis, para facilitar o acesso e a gestão da infraestrutura de telecomunicações.</w:t>
      </w:r>
    </w:p>
    <w:p w14:paraId="0C8D8631" w14:textId="77777777" w:rsidR="009E0A56" w:rsidRPr="009E0A56" w:rsidRDefault="009E0A56" w:rsidP="009E0A56">
      <w:pPr>
        <w:spacing w:before="120" w:line="240" w:lineRule="auto"/>
        <w:rPr>
          <w:rFonts w:eastAsiaTheme="minorEastAsia"/>
          <w:sz w:val="22"/>
          <w:szCs w:val="22"/>
        </w:rPr>
      </w:pPr>
      <w:r w:rsidRPr="00AE3EC3">
        <w:rPr>
          <w:rFonts w:eastAsiaTheme="minorEastAsia"/>
          <w:b/>
          <w:sz w:val="22"/>
          <w:szCs w:val="22"/>
        </w:rPr>
        <w:t>CRM (Gestão de Relacionamento com o Cliente)</w:t>
      </w:r>
      <w:r w:rsidRPr="009E0A56">
        <w:rPr>
          <w:rFonts w:eastAsiaTheme="minorEastAsia"/>
          <w:sz w:val="22"/>
          <w:szCs w:val="22"/>
        </w:rPr>
        <w:t xml:space="preserve">: Novos produtos, como SD-WAN, </w:t>
      </w:r>
      <w:proofErr w:type="spellStart"/>
      <w:r w:rsidRPr="009E0A56">
        <w:rPr>
          <w:rFonts w:eastAsiaTheme="minorEastAsia"/>
          <w:sz w:val="22"/>
          <w:szCs w:val="22"/>
        </w:rPr>
        <w:t>Wifi</w:t>
      </w:r>
      <w:proofErr w:type="spellEnd"/>
      <w:r w:rsidRPr="009E0A56">
        <w:rPr>
          <w:rFonts w:eastAsiaTheme="minorEastAsia"/>
          <w:sz w:val="22"/>
          <w:szCs w:val="22"/>
        </w:rPr>
        <w:t xml:space="preserve"> Telebras e IP Light, foram adicionados ao nosso portfólio, enriquecendo as opções disponíveis para nossos clientes.</w:t>
      </w:r>
    </w:p>
    <w:p w14:paraId="2C61B0F6" w14:textId="77777777" w:rsidR="009E0A56" w:rsidRPr="009E0A56" w:rsidRDefault="009E0A56" w:rsidP="009E0A56">
      <w:pPr>
        <w:spacing w:before="120" w:line="240" w:lineRule="auto"/>
        <w:rPr>
          <w:rFonts w:eastAsiaTheme="minorEastAsia"/>
          <w:sz w:val="22"/>
          <w:szCs w:val="22"/>
        </w:rPr>
      </w:pPr>
      <w:r w:rsidRPr="009E0A56">
        <w:rPr>
          <w:rFonts w:eastAsiaTheme="minorEastAsia"/>
          <w:sz w:val="22"/>
          <w:szCs w:val="22"/>
        </w:rPr>
        <w:t>Além disso, uma solução de backup foi implementada para os Centros de Operações Espaciais (COPE-P e COPE-S), reforçando a segurança dos dados da Telebras. Uma nova solução de armazenamento (</w:t>
      </w:r>
      <w:proofErr w:type="spellStart"/>
      <w:r w:rsidRPr="009E0A56">
        <w:rPr>
          <w:rFonts w:eastAsiaTheme="minorEastAsia"/>
          <w:sz w:val="22"/>
          <w:szCs w:val="22"/>
        </w:rPr>
        <w:t>Storage</w:t>
      </w:r>
      <w:proofErr w:type="spellEnd"/>
      <w:r w:rsidRPr="009E0A56">
        <w:rPr>
          <w:rFonts w:eastAsiaTheme="minorEastAsia"/>
          <w:sz w:val="22"/>
          <w:szCs w:val="22"/>
        </w:rPr>
        <w:t xml:space="preserve">) também foi introduzida, além da migração de todos os serviços produtivos para ambientes mais eficientes. Essa atualização na infraestrutura de </w:t>
      </w:r>
      <w:proofErr w:type="spellStart"/>
      <w:r w:rsidRPr="009E0A56">
        <w:rPr>
          <w:rFonts w:eastAsiaTheme="minorEastAsia"/>
          <w:sz w:val="22"/>
          <w:szCs w:val="22"/>
        </w:rPr>
        <w:t>storage</w:t>
      </w:r>
      <w:proofErr w:type="spellEnd"/>
      <w:r w:rsidRPr="009E0A56">
        <w:rPr>
          <w:rFonts w:eastAsiaTheme="minorEastAsia"/>
          <w:sz w:val="22"/>
          <w:szCs w:val="22"/>
        </w:rPr>
        <w:t xml:space="preserve"> é parte do nosso compromisso contínuo com a segurança e eficiência dos dados, embora não especificamente indicada como de última geração, enfatiza nosso foco em melhorar a resiliência e a capacidade operacional.</w:t>
      </w:r>
    </w:p>
    <w:p w14:paraId="22C986C2" w14:textId="77777777" w:rsidR="009E0A56" w:rsidRPr="009E0A56" w:rsidRDefault="009E0A56" w:rsidP="009E0A56">
      <w:pPr>
        <w:spacing w:before="120" w:line="240" w:lineRule="auto"/>
        <w:rPr>
          <w:rFonts w:eastAsiaTheme="minorEastAsia"/>
          <w:sz w:val="22"/>
          <w:szCs w:val="22"/>
        </w:rPr>
      </w:pPr>
      <w:r w:rsidRPr="009E0A56">
        <w:rPr>
          <w:rFonts w:eastAsiaTheme="minorEastAsia"/>
          <w:sz w:val="22"/>
          <w:szCs w:val="22"/>
        </w:rPr>
        <w:t>Para assegurar a execução eficiente dos trabalhos do dia a dia, os equipamentos de microinformática dos colaboradores foram atualizados, mantendo a segurança necessária para as operações da Telebras.</w:t>
      </w:r>
    </w:p>
    <w:p w14:paraId="6309E509" w14:textId="28392114" w:rsidR="00216628" w:rsidRPr="00AE3EC3" w:rsidRDefault="00216628">
      <w:pPr>
        <w:spacing w:before="120" w:line="240" w:lineRule="auto"/>
        <w:rPr>
          <w:rFonts w:eastAsiaTheme="minorEastAsia"/>
          <w:sz w:val="22"/>
          <w:szCs w:val="22"/>
        </w:rPr>
      </w:pPr>
    </w:p>
    <w:p w14:paraId="0C208362" w14:textId="38F471BE" w:rsidR="004532CE" w:rsidRPr="008B63BE" w:rsidRDefault="00CE7ABB" w:rsidP="0075165C">
      <w:pPr>
        <w:pStyle w:val="Ttulo2"/>
        <w:spacing w:before="240" w:after="120" w:line="276" w:lineRule="auto"/>
        <w:ind w:left="567" w:hanging="567"/>
      </w:pPr>
      <w:bookmarkStart w:id="435" w:name="_Toc161319466"/>
      <w:r w:rsidRPr="008B63BE">
        <w:t>Segurança da Informação e Comunicações</w:t>
      </w:r>
      <w:bookmarkEnd w:id="435"/>
    </w:p>
    <w:p w14:paraId="1D01808B" w14:textId="77777777" w:rsidR="00CB7A50" w:rsidRDefault="00CB7A50" w:rsidP="0024778E">
      <w:pPr>
        <w:spacing w:before="120" w:line="240" w:lineRule="auto"/>
        <w:rPr>
          <w:rFonts w:eastAsiaTheme="minorEastAsia"/>
          <w:b/>
          <w:sz w:val="22"/>
          <w:szCs w:val="22"/>
        </w:rPr>
      </w:pPr>
    </w:p>
    <w:p w14:paraId="2D133628" w14:textId="21E6596D" w:rsidR="0024778E" w:rsidRPr="00AE3EC3" w:rsidRDefault="0024778E" w:rsidP="0024778E">
      <w:pPr>
        <w:spacing w:before="120" w:line="240" w:lineRule="auto"/>
        <w:rPr>
          <w:rFonts w:eastAsiaTheme="minorEastAsia"/>
          <w:b/>
          <w:sz w:val="22"/>
          <w:szCs w:val="22"/>
        </w:rPr>
      </w:pPr>
      <w:r w:rsidRPr="00AE3EC3">
        <w:rPr>
          <w:rFonts w:eastAsiaTheme="minorEastAsia"/>
          <w:b/>
          <w:sz w:val="22"/>
          <w:szCs w:val="22"/>
        </w:rPr>
        <w:t>Conscientização e Treinamento em Segurança Cibernética</w:t>
      </w:r>
    </w:p>
    <w:p w14:paraId="2064ECAC" w14:textId="6AA121CC" w:rsidR="00247165" w:rsidRDefault="0024778E" w:rsidP="00247165">
      <w:pPr>
        <w:spacing w:before="120" w:line="240" w:lineRule="auto"/>
        <w:rPr>
          <w:rFonts w:eastAsiaTheme="minorEastAsia"/>
          <w:sz w:val="22"/>
          <w:szCs w:val="22"/>
        </w:rPr>
      </w:pPr>
      <w:r w:rsidRPr="0024778E">
        <w:rPr>
          <w:rFonts w:eastAsiaTheme="minorEastAsia"/>
          <w:sz w:val="22"/>
          <w:szCs w:val="22"/>
        </w:rPr>
        <w:t>A Telebras implementou um programa de treinamento em segurança cibernética destinado a seus colaboradores, visando equipá-los com o conhecimento necessário para identificar e proteger-se contra ameaças virtuais. Este curso, desenvolvido internamente, abrange detalhes fundamentais sobre a rede nacional de telecomunicações da empresa, seu posicionamento estratégico em relação à segurança na internet, e a relevância da tecnologia SD-WAN nos serviços de segurança prestados pela Telebras. A iniciativa sublinha o compromisso da empresa em manter um ambiente digital seguro tanto para seus funcionários quanto para a infraestrutura crítica que opera.</w:t>
      </w:r>
      <w:r w:rsidR="00247165">
        <w:rPr>
          <w:rFonts w:eastAsiaTheme="minorEastAsia"/>
          <w:sz w:val="22"/>
          <w:szCs w:val="22"/>
        </w:rPr>
        <w:br w:type="page"/>
      </w:r>
    </w:p>
    <w:p w14:paraId="038F51FC" w14:textId="3F3EBF56" w:rsidR="0024778E" w:rsidRPr="00AE3EC3" w:rsidRDefault="0024778E" w:rsidP="0024778E">
      <w:pPr>
        <w:spacing w:before="120" w:line="240" w:lineRule="auto"/>
        <w:rPr>
          <w:rFonts w:eastAsiaTheme="minorEastAsia"/>
          <w:b/>
          <w:sz w:val="22"/>
          <w:szCs w:val="22"/>
        </w:rPr>
      </w:pPr>
      <w:r w:rsidRPr="00AE3EC3">
        <w:rPr>
          <w:rFonts w:eastAsiaTheme="minorEastAsia"/>
          <w:b/>
          <w:sz w:val="22"/>
          <w:szCs w:val="22"/>
        </w:rPr>
        <w:lastRenderedPageBreak/>
        <w:t>Participação no Exercício Guardião Cibernético (EGC) 5.0</w:t>
      </w:r>
    </w:p>
    <w:p w14:paraId="581B69F1" w14:textId="047A50E9" w:rsidR="00DA051C" w:rsidRDefault="0024778E" w:rsidP="008B63BE">
      <w:pPr>
        <w:spacing w:before="120" w:line="240" w:lineRule="auto"/>
        <w:rPr>
          <w:highlight w:val="yellow"/>
        </w:rPr>
      </w:pPr>
      <w:r w:rsidRPr="0024778E">
        <w:rPr>
          <w:rFonts w:eastAsiaTheme="minorEastAsia"/>
          <w:sz w:val="22"/>
          <w:szCs w:val="22"/>
        </w:rPr>
        <w:t>Além disso, a Telebras participou do Exercício Guardião Cibernético (EGC) 5.0, um evento significativo de defesa cibernética no Hemisfério Sul. Organizado pelo Comando de Defesa Cibernética (</w:t>
      </w:r>
      <w:proofErr w:type="spellStart"/>
      <w:r w:rsidRPr="0024778E">
        <w:rPr>
          <w:rFonts w:eastAsiaTheme="minorEastAsia"/>
          <w:sz w:val="22"/>
          <w:szCs w:val="22"/>
        </w:rPr>
        <w:t>ComDCiber</w:t>
      </w:r>
      <w:proofErr w:type="spellEnd"/>
      <w:r w:rsidRPr="0024778E">
        <w:rPr>
          <w:rFonts w:eastAsiaTheme="minorEastAsia"/>
          <w:sz w:val="22"/>
          <w:szCs w:val="22"/>
        </w:rPr>
        <w:t>) e realizado na Escola Superior de Defesa (ESD) em Brasília, este evento represent</w:t>
      </w:r>
      <w:r w:rsidR="006E050D">
        <w:rPr>
          <w:rFonts w:eastAsiaTheme="minorEastAsia"/>
          <w:sz w:val="22"/>
          <w:szCs w:val="22"/>
        </w:rPr>
        <w:t>ou</w:t>
      </w:r>
      <w:r w:rsidRPr="0024778E">
        <w:rPr>
          <w:rFonts w:eastAsiaTheme="minorEastAsia"/>
          <w:sz w:val="22"/>
          <w:szCs w:val="22"/>
        </w:rPr>
        <w:t xml:space="preserve"> uma oportunidade para a Telebras aprimorar suas estratégias de defesa cibernética, trocar conhecimentos com outras entidades e fortalecer suas capacidades de resposta a incidentes cibernéticos</w:t>
      </w:r>
      <w:r w:rsidR="00944E24" w:rsidRPr="00944E24">
        <w:rPr>
          <w:rFonts w:eastAsiaTheme="minorEastAsia"/>
          <w:sz w:val="22"/>
          <w:szCs w:val="22"/>
        </w:rPr>
        <w:t>.</w:t>
      </w:r>
    </w:p>
    <w:p w14:paraId="698C45ED" w14:textId="56CC8823" w:rsidR="005F0BD1" w:rsidRPr="00251C75" w:rsidRDefault="2294BC08" w:rsidP="00A24589">
      <w:pPr>
        <w:pStyle w:val="Ttulo1"/>
        <w:spacing w:after="240"/>
        <w:ind w:left="567" w:hanging="567"/>
      </w:pPr>
      <w:bookmarkStart w:id="436" w:name="_Toc161319467"/>
      <w:bookmarkEnd w:id="334"/>
      <w:r w:rsidRPr="00251C75">
        <w:lastRenderedPageBreak/>
        <w:t>Gestão de Pessoas</w:t>
      </w:r>
      <w:bookmarkEnd w:id="436"/>
    </w:p>
    <w:p w14:paraId="736F650F" w14:textId="621A2CCD" w:rsidR="6B0B5A0D" w:rsidRPr="00DD4D54" w:rsidRDefault="472E19A3" w:rsidP="00740C79">
      <w:pPr>
        <w:pStyle w:val="Ttulo2"/>
        <w:spacing w:before="240" w:after="120" w:line="276" w:lineRule="auto"/>
        <w:ind w:left="567" w:hanging="567"/>
      </w:pPr>
      <w:bookmarkStart w:id="437" w:name="_Toc161319468"/>
      <w:r w:rsidRPr="00DD4D54">
        <w:t>Planos de Previdência e Seguridade Social</w:t>
      </w:r>
      <w:bookmarkEnd w:id="437"/>
    </w:p>
    <w:p w14:paraId="60E8F69B" w14:textId="1F163EB1" w:rsidR="002671DB" w:rsidRPr="002671DB" w:rsidRDefault="002671DB" w:rsidP="002671DB">
      <w:pPr>
        <w:spacing w:before="120" w:line="240" w:lineRule="auto"/>
        <w:rPr>
          <w:rFonts w:cs="Arial"/>
          <w:sz w:val="22"/>
        </w:rPr>
      </w:pPr>
      <w:r w:rsidRPr="002671DB">
        <w:rPr>
          <w:rFonts w:cs="Arial"/>
          <w:sz w:val="22"/>
        </w:rPr>
        <w:t>A Telebras patrocina três planos de previdência complementar geridos pela Fundação Sistel de Seguridade Social, demonstrando seu compromisso com o bem-estar dos colaboradores atuais e aposentados:</w:t>
      </w:r>
    </w:p>
    <w:p w14:paraId="7524FA00" w14:textId="77777777" w:rsidR="002671DB" w:rsidRPr="002671DB" w:rsidRDefault="002671DB" w:rsidP="002671DB">
      <w:pPr>
        <w:spacing w:before="120" w:line="240" w:lineRule="auto"/>
        <w:rPr>
          <w:rFonts w:cs="Arial"/>
          <w:sz w:val="22"/>
        </w:rPr>
      </w:pPr>
      <w:r w:rsidRPr="00AE3EC3">
        <w:rPr>
          <w:rFonts w:cs="Arial"/>
          <w:b/>
          <w:sz w:val="22"/>
        </w:rPr>
        <w:t>Plano de Benefícios da Sistel - PBS-A</w:t>
      </w:r>
      <w:r w:rsidRPr="002671DB">
        <w:rPr>
          <w:rFonts w:cs="Arial"/>
          <w:sz w:val="22"/>
        </w:rPr>
        <w:t>: Este plano de benefício definido atende ex-funcionários do Sistema Telebras, aposentados até janeiro de 2000. Oferece aposentadoria, pensão, auxílios diversos e pecúlios por morte.</w:t>
      </w:r>
    </w:p>
    <w:p w14:paraId="2AC0D71F" w14:textId="77777777" w:rsidR="002671DB" w:rsidRPr="002671DB" w:rsidRDefault="002671DB" w:rsidP="002671DB">
      <w:pPr>
        <w:spacing w:before="120" w:line="240" w:lineRule="auto"/>
        <w:rPr>
          <w:rFonts w:cs="Arial"/>
          <w:sz w:val="22"/>
        </w:rPr>
      </w:pPr>
      <w:r w:rsidRPr="00AE3EC3">
        <w:rPr>
          <w:rFonts w:cs="Arial"/>
          <w:b/>
          <w:sz w:val="22"/>
        </w:rPr>
        <w:t>Plano PBS-Telebras</w:t>
      </w:r>
      <w:r w:rsidRPr="002671DB">
        <w:rPr>
          <w:rFonts w:cs="Arial"/>
          <w:sz w:val="22"/>
        </w:rPr>
        <w:t>: Também um plano de benefício definido, patrocinado exclusivamente pela Telebras e em fase de extinção. Garante aposentadoria, auxílio-doença, auxílio-reclusão e pecúlios por morte.</w:t>
      </w:r>
    </w:p>
    <w:p w14:paraId="5E44F8D6" w14:textId="77777777" w:rsidR="002671DB" w:rsidRPr="002671DB" w:rsidRDefault="002671DB" w:rsidP="002671DB">
      <w:pPr>
        <w:spacing w:before="120" w:line="240" w:lineRule="auto"/>
        <w:rPr>
          <w:rFonts w:cs="Arial"/>
          <w:sz w:val="22"/>
        </w:rPr>
      </w:pPr>
      <w:r w:rsidRPr="00AE3EC3">
        <w:rPr>
          <w:rFonts w:cs="Arial"/>
          <w:b/>
          <w:sz w:val="22"/>
        </w:rPr>
        <w:t xml:space="preserve">Plano </w:t>
      </w:r>
      <w:proofErr w:type="spellStart"/>
      <w:r w:rsidRPr="00AE3EC3">
        <w:rPr>
          <w:rFonts w:cs="Arial"/>
          <w:b/>
          <w:sz w:val="22"/>
        </w:rPr>
        <w:t>Telebrasprev</w:t>
      </w:r>
      <w:proofErr w:type="spellEnd"/>
      <w:r w:rsidRPr="002671DB">
        <w:rPr>
          <w:rFonts w:cs="Arial"/>
          <w:sz w:val="22"/>
        </w:rPr>
        <w:t>: Estruturado na modalidade de contribuição variável, está fechado a novos participantes e oferece benefícios programados e de risco, incluindo aposentadoria (ordinária e por invalidez), pensão por morte e auxílio-doença.</w:t>
      </w:r>
    </w:p>
    <w:p w14:paraId="51B27D2E" w14:textId="1182C7DB" w:rsidR="00A30383" w:rsidRPr="0038148F" w:rsidRDefault="002671DB" w:rsidP="00013FDD">
      <w:pPr>
        <w:spacing w:before="120" w:line="240" w:lineRule="auto"/>
        <w:rPr>
          <w:rFonts w:cs="Arial"/>
        </w:rPr>
      </w:pPr>
      <w:r w:rsidRPr="00013FDD">
        <w:rPr>
          <w:rFonts w:cs="Arial"/>
          <w:sz w:val="22"/>
        </w:rPr>
        <w:t>Esses planos refletem o esforço contínuo da Telebras em assegurar segurança financeira e tranquilidade para seus colaboradores e suas famílias, reafirmando seu papel como empregador responsável e comprometido com a sustentabilidade social de sua força de trabalho</w:t>
      </w:r>
      <w:r w:rsidR="009C6092" w:rsidRPr="00A24589">
        <w:rPr>
          <w:rFonts w:cs="Arial"/>
          <w:sz w:val="22"/>
        </w:rPr>
        <w:t>.</w:t>
      </w:r>
      <w:r w:rsidR="00A30383" w:rsidRPr="00AE3EC3">
        <w:rPr>
          <w:rFonts w:cs="Arial"/>
        </w:rPr>
        <w:t xml:space="preserve"> </w:t>
      </w:r>
    </w:p>
    <w:p w14:paraId="0FD25A45" w14:textId="1B8DEF9F" w:rsidR="00C9006B" w:rsidRPr="0038148F" w:rsidRDefault="79824539" w:rsidP="00740C79">
      <w:pPr>
        <w:pStyle w:val="Ttulo2"/>
        <w:spacing w:before="360" w:after="120" w:line="276" w:lineRule="auto"/>
        <w:ind w:left="567" w:hanging="567"/>
      </w:pPr>
      <w:bookmarkStart w:id="438" w:name="_Toc1052041"/>
      <w:bookmarkStart w:id="439" w:name="_Toc161319469"/>
      <w:r w:rsidRPr="0038148F">
        <w:t>Quadro de Pessoal e Remuneração</w:t>
      </w:r>
      <w:bookmarkEnd w:id="438"/>
      <w:bookmarkEnd w:id="439"/>
    </w:p>
    <w:p w14:paraId="6FC214A4" w14:textId="18CF903D" w:rsidR="00D24D99" w:rsidRPr="00AE2A3B" w:rsidRDefault="00D24D99" w:rsidP="00AE3EC3">
      <w:pPr>
        <w:tabs>
          <w:tab w:val="clear" w:pos="851"/>
          <w:tab w:val="left" w:pos="993"/>
        </w:tabs>
        <w:spacing w:before="120" w:line="240" w:lineRule="auto"/>
        <w:rPr>
          <w:rFonts w:cs="Arial"/>
          <w:sz w:val="22"/>
          <w:szCs w:val="22"/>
        </w:rPr>
      </w:pPr>
      <w:r w:rsidRPr="00D24D99">
        <w:rPr>
          <w:rFonts w:cs="Arial"/>
          <w:sz w:val="22"/>
          <w:szCs w:val="22"/>
        </w:rPr>
        <w:t>Em 2023, a Telebras ajustou seu quadro de pessoal para alinhar-se às necessidades operacionais e estratégicas da empresa, finalizando o ano com um total de 467 colaboradores. Essa equipe é composta por 297 empregados efetivos, 50 colaboradores ad nutum, 1 funcionário requisitado, 71 estagiários e 5 jovens aprendizes.</w:t>
      </w:r>
      <w:r>
        <w:rPr>
          <w:rFonts w:cs="Arial"/>
          <w:sz w:val="22"/>
          <w:szCs w:val="22"/>
        </w:rPr>
        <w:t xml:space="preserve"> </w:t>
      </w:r>
      <w:r w:rsidRPr="00D24D99">
        <w:rPr>
          <w:rFonts w:cs="Arial"/>
          <w:sz w:val="22"/>
          <w:szCs w:val="22"/>
        </w:rPr>
        <w:t>Dentro desse quadro, 13 empregados efetivos foram cedidos para trabalhar em outros órgãos da Administração Pública, enquanto 30 fazem parte de um qua</w:t>
      </w:r>
      <w:r>
        <w:rPr>
          <w:rFonts w:cs="Arial"/>
          <w:sz w:val="22"/>
          <w:szCs w:val="22"/>
        </w:rPr>
        <w:t>dro transitório, também cedidos</w:t>
      </w:r>
      <w:r w:rsidR="009C6092" w:rsidRPr="21E30024">
        <w:rPr>
          <w:rFonts w:cs="Arial"/>
          <w:sz w:val="22"/>
          <w:szCs w:val="22"/>
        </w:rPr>
        <w:t>.</w:t>
      </w:r>
      <w:r>
        <w:rPr>
          <w:rFonts w:cs="Arial"/>
          <w:sz w:val="22"/>
          <w:szCs w:val="22"/>
        </w:rPr>
        <w:t xml:space="preserve"> </w:t>
      </w:r>
      <w:r w:rsidR="00BB6C3F">
        <w:rPr>
          <w:rFonts w:cs="Arial"/>
          <w:sz w:val="22"/>
          <w:szCs w:val="22"/>
        </w:rPr>
        <w:t xml:space="preserve">Observa-se na tabela a seguir o comparativo entre os </w:t>
      </w:r>
      <w:r>
        <w:rPr>
          <w:rFonts w:cs="Arial"/>
          <w:sz w:val="22"/>
          <w:szCs w:val="22"/>
        </w:rPr>
        <w:t>anos de 2022 e 2023:</w:t>
      </w:r>
    </w:p>
    <w:p w14:paraId="3ED8D56C" w14:textId="76C3EBA5" w:rsidR="00172D8B" w:rsidRPr="00345BE3" w:rsidRDefault="00172D8B" w:rsidP="00172D8B">
      <w:pPr>
        <w:spacing w:line="240" w:lineRule="auto"/>
        <w:jc w:val="center"/>
        <w:rPr>
          <w:rFonts w:cs="Arial"/>
        </w:rPr>
      </w:pPr>
      <w:r>
        <w:rPr>
          <w:noProof/>
          <w:lang w:eastAsia="pt-BR"/>
        </w:rPr>
        <w:drawing>
          <wp:inline distT="0" distB="0" distL="0" distR="0" wp14:anchorId="0C48BB4A" wp14:editId="5D45B2B0">
            <wp:extent cx="3286125" cy="2124075"/>
            <wp:effectExtent l="0" t="0" r="9525" b="9525"/>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86125" cy="21240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38302BD7" w14:textId="6EB849C7" w:rsidR="000123DA" w:rsidRPr="00731834" w:rsidRDefault="000123DA" w:rsidP="000123DA">
      <w:pPr>
        <w:pStyle w:val="Legenda"/>
      </w:pPr>
      <w:bookmarkStart w:id="440" w:name="_Toc161319867"/>
      <w:r w:rsidRPr="00731834">
        <w:t xml:space="preserve">Tabela </w:t>
      </w:r>
      <w:r w:rsidR="006F713F">
        <w:fldChar w:fldCharType="begin"/>
      </w:r>
      <w:r w:rsidR="006F713F">
        <w:instrText xml:space="preserve"> STYLEREF 1 \s </w:instrText>
      </w:r>
      <w:r w:rsidR="006F713F">
        <w:fldChar w:fldCharType="separate"/>
      </w:r>
      <w:r w:rsidR="00247165">
        <w:rPr>
          <w:noProof/>
        </w:rPr>
        <w:t>8</w:t>
      </w:r>
      <w:r w:rsidR="006F713F">
        <w:rPr>
          <w:noProof/>
        </w:rPr>
        <w:fldChar w:fldCharType="end"/>
      </w:r>
      <w:r w:rsidRPr="00731834">
        <w:noBreakHyphen/>
      </w:r>
      <w:r w:rsidR="006F713F">
        <w:fldChar w:fldCharType="begin"/>
      </w:r>
      <w:r w:rsidR="006F713F">
        <w:instrText xml:space="preserve"> SEQ Tabela \* ARABIC \s 1 </w:instrText>
      </w:r>
      <w:r w:rsidR="006F713F">
        <w:fldChar w:fldCharType="separate"/>
      </w:r>
      <w:r w:rsidR="00247165">
        <w:rPr>
          <w:noProof/>
        </w:rPr>
        <w:t>1</w:t>
      </w:r>
      <w:r w:rsidR="006F713F">
        <w:rPr>
          <w:noProof/>
        </w:rPr>
        <w:fldChar w:fldCharType="end"/>
      </w:r>
      <w:r w:rsidRPr="00731834">
        <w:t xml:space="preserve"> Comparativo do quadro de empregados por exercício – 2023/2022</w:t>
      </w:r>
      <w:bookmarkEnd w:id="440"/>
    </w:p>
    <w:p w14:paraId="256F9B4F" w14:textId="46DA39CB" w:rsidR="009C6092" w:rsidRPr="00731834" w:rsidRDefault="000123DA" w:rsidP="000123DA">
      <w:pPr>
        <w:spacing w:line="276" w:lineRule="auto"/>
      </w:pPr>
      <w:r w:rsidRPr="00731834">
        <w:t>O gráfico abaixo apresenta a evolução do quadro de pessoal em 2023:</w:t>
      </w:r>
    </w:p>
    <w:p w14:paraId="13881754" w14:textId="511CD02A" w:rsidR="009C6092" w:rsidRPr="00731834" w:rsidRDefault="00731834" w:rsidP="00AE3EC3">
      <w:pPr>
        <w:pStyle w:val="PargrafodaLista"/>
        <w:spacing w:line="276" w:lineRule="auto"/>
        <w:ind w:left="1560" w:hanging="1844"/>
        <w:jc w:val="center"/>
      </w:pPr>
      <w:r w:rsidRPr="00731834">
        <w:rPr>
          <w:noProof/>
          <w:lang w:eastAsia="pt-BR"/>
        </w:rPr>
        <w:lastRenderedPageBreak/>
        <w:drawing>
          <wp:inline distT="0" distB="0" distL="0" distR="0" wp14:anchorId="1763895A" wp14:editId="183AFE9A">
            <wp:extent cx="5417820" cy="2171700"/>
            <wp:effectExtent l="0" t="0" r="11430" b="0"/>
            <wp:docPr id="9" name="Gráfico 9">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06CBD00" w14:textId="48E85076" w:rsidR="00D5755B" w:rsidRPr="00AE2A3B" w:rsidRDefault="000123DA" w:rsidP="00E17763">
      <w:pPr>
        <w:pStyle w:val="Legenda"/>
      </w:pPr>
      <w:bookmarkStart w:id="441" w:name="_Toc159258279"/>
      <w:r w:rsidRPr="00731834">
        <w:t xml:space="preserve">Gráfico </w:t>
      </w:r>
      <w:r w:rsidR="006F713F">
        <w:fldChar w:fldCharType="begin"/>
      </w:r>
      <w:r w:rsidR="006F713F">
        <w:instrText xml:space="preserve"> STYLEREF 1 \s </w:instrText>
      </w:r>
      <w:r w:rsidR="006F713F">
        <w:fldChar w:fldCharType="separate"/>
      </w:r>
      <w:r w:rsidR="009B5930">
        <w:rPr>
          <w:noProof/>
        </w:rPr>
        <w:t>8</w:t>
      </w:r>
      <w:r w:rsidR="006F713F">
        <w:rPr>
          <w:noProof/>
        </w:rPr>
        <w:fldChar w:fldCharType="end"/>
      </w:r>
      <w:r w:rsidRPr="00731834">
        <w:noBreakHyphen/>
      </w:r>
      <w:r w:rsidR="006F713F">
        <w:fldChar w:fldCharType="begin"/>
      </w:r>
      <w:r w:rsidR="006F713F">
        <w:instrText xml:space="preserve"> SEQ Gráfico \* ARABIC \s 1 </w:instrText>
      </w:r>
      <w:r w:rsidR="006F713F">
        <w:fldChar w:fldCharType="separate"/>
      </w:r>
      <w:r w:rsidR="009B5930">
        <w:rPr>
          <w:noProof/>
        </w:rPr>
        <w:t>1</w:t>
      </w:r>
      <w:r w:rsidR="006F713F">
        <w:rPr>
          <w:noProof/>
        </w:rPr>
        <w:fldChar w:fldCharType="end"/>
      </w:r>
      <w:r w:rsidRPr="00731834">
        <w:t xml:space="preserve"> Evolução do quadro funcional em 2023</w:t>
      </w:r>
      <w:bookmarkEnd w:id="441"/>
    </w:p>
    <w:p w14:paraId="0B7EB3E2" w14:textId="3BBFAE37" w:rsidR="009C6092" w:rsidRDefault="009C6092" w:rsidP="009C6092">
      <w:pPr>
        <w:spacing w:before="120" w:line="240" w:lineRule="auto"/>
        <w:ind w:hanging="284"/>
        <w:jc w:val="center"/>
        <w:rPr>
          <w:bCs/>
          <w:sz w:val="16"/>
        </w:rPr>
      </w:pPr>
    </w:p>
    <w:p w14:paraId="6A2DB2FA" w14:textId="77777777" w:rsidR="00020E17" w:rsidRPr="00284383" w:rsidRDefault="00020E17" w:rsidP="00AE3EC3">
      <w:pPr>
        <w:pStyle w:val="SemEspaamento"/>
        <w:spacing w:after="240"/>
        <w:jc w:val="both"/>
        <w:rPr>
          <w:rFonts w:ascii="Arial" w:hAnsi="Arial" w:cs="Arial"/>
        </w:rPr>
      </w:pPr>
    </w:p>
    <w:p w14:paraId="0ADAC03B" w14:textId="756D4BEB" w:rsidR="00C9006B" w:rsidRPr="00284383" w:rsidRDefault="79824539" w:rsidP="00AE2A3B">
      <w:pPr>
        <w:pStyle w:val="Ttulo2"/>
        <w:spacing w:before="240" w:after="120" w:line="276" w:lineRule="auto"/>
        <w:ind w:left="567" w:hanging="567"/>
      </w:pPr>
      <w:bookmarkStart w:id="442" w:name="_Toc161319470"/>
      <w:bookmarkStart w:id="443" w:name="_Toc1052042"/>
      <w:r w:rsidRPr="00284383">
        <w:t>Remuneração</w:t>
      </w:r>
      <w:bookmarkEnd w:id="442"/>
      <w:r w:rsidRPr="00284383">
        <w:t xml:space="preserve"> </w:t>
      </w:r>
      <w:bookmarkEnd w:id="443"/>
    </w:p>
    <w:p w14:paraId="0ED7F833" w14:textId="45EC7777" w:rsidR="009C6092" w:rsidRPr="00284383" w:rsidRDefault="0032434D" w:rsidP="0032434D">
      <w:pPr>
        <w:spacing w:before="120" w:line="240" w:lineRule="auto"/>
        <w:rPr>
          <w:sz w:val="22"/>
          <w:szCs w:val="22"/>
        </w:rPr>
      </w:pPr>
      <w:r w:rsidRPr="0032434D">
        <w:rPr>
          <w:sz w:val="22"/>
          <w:szCs w:val="22"/>
        </w:rPr>
        <w:t>A maior remuneração para o quadro de pessoal alcançou R$ 33.764,65, e a menor foi de R$ 4.121,07, estabelecendo um salário médio de R$ 14.062,55. Para os dirigentes, a remuneração oscilou entre R$ 38.396,51 e R$ 42.236,17, com uma média de R$ 39.164,44, reconhecendo as responsabilidades e a liderança desses profissionais dentro da organização.</w:t>
      </w:r>
    </w:p>
    <w:p w14:paraId="16B94260" w14:textId="6174B934" w:rsidR="00C9006B" w:rsidRPr="00284383" w:rsidRDefault="62369B81" w:rsidP="00AE2A3B">
      <w:pPr>
        <w:pStyle w:val="Ttulo2"/>
        <w:spacing w:before="240" w:after="120" w:line="276" w:lineRule="auto"/>
        <w:ind w:left="567" w:hanging="567"/>
      </w:pPr>
      <w:bookmarkStart w:id="444" w:name="_Toc1052043"/>
      <w:bookmarkStart w:id="445" w:name="_Toc161319471"/>
      <w:r w:rsidRPr="00284383">
        <w:t>Acordo Coletivo de Trabalho</w:t>
      </w:r>
      <w:bookmarkEnd w:id="444"/>
      <w:bookmarkEnd w:id="445"/>
    </w:p>
    <w:p w14:paraId="68858EF9" w14:textId="79D101FA" w:rsidR="009C6092" w:rsidRPr="00AE2A3B" w:rsidRDefault="00934B0A" w:rsidP="009C6092">
      <w:pPr>
        <w:spacing w:before="120" w:line="240" w:lineRule="auto"/>
        <w:rPr>
          <w:sz w:val="22"/>
          <w:szCs w:val="22"/>
        </w:rPr>
      </w:pPr>
      <w:r w:rsidRPr="00934B0A">
        <w:rPr>
          <w:sz w:val="22"/>
          <w:szCs w:val="22"/>
        </w:rPr>
        <w:t>A Telebras concluiu com êxito as negociações do ACT 2022/2023, implementando um reajuste salarial e de benefícios de 6,3%, além de manter as cláusulas sociais. Este acordo, válido de 1º de novembro de 2022 a 31 de outubro de 2023. As negociações para o ACT 2023/2024 estão em andamento, demonstrando a contínua busca da Telebras por um ambiente de trabalho equitativo e produtivo.</w:t>
      </w:r>
    </w:p>
    <w:p w14:paraId="5E7EA309" w14:textId="6E8C3C37" w:rsidR="00C9006B" w:rsidRPr="00284383" w:rsidRDefault="42986106" w:rsidP="00554F74">
      <w:pPr>
        <w:pStyle w:val="Ttulo2"/>
        <w:spacing w:before="360" w:after="120" w:line="276" w:lineRule="auto"/>
        <w:ind w:left="567" w:hanging="567"/>
      </w:pPr>
      <w:bookmarkStart w:id="446" w:name="_Toc1052044"/>
      <w:bookmarkStart w:id="447" w:name="_Toc161319472"/>
      <w:r w:rsidRPr="00284383">
        <w:t>Concurso Público</w:t>
      </w:r>
      <w:bookmarkEnd w:id="446"/>
      <w:bookmarkEnd w:id="447"/>
    </w:p>
    <w:p w14:paraId="107103F5" w14:textId="64A7A9C4" w:rsidR="009C6092" w:rsidRPr="00554F74" w:rsidRDefault="00A1618C" w:rsidP="009C6092">
      <w:pPr>
        <w:spacing w:before="120" w:line="240" w:lineRule="auto"/>
        <w:rPr>
          <w:sz w:val="22"/>
          <w:szCs w:val="22"/>
        </w:rPr>
      </w:pPr>
      <w:r w:rsidRPr="00A1618C">
        <w:rPr>
          <w:sz w:val="22"/>
          <w:szCs w:val="22"/>
        </w:rPr>
        <w:t>A estratégia de recrutamento da Telebras incluiu a realização de concursos públicos para atrair talentos especializados. Desde 2015, a empresa realizou três concursos, admitindo um total de 424 funcionários até dezembro de 2023, apesar de 148 desses funcionários terem se desligado. O mais recente concurso, anunciado em novembro de 2021, ofereceu 9 vagas diretas e cadastro reserva, resultando na contratação de 59 novos especialistas em gestão de telec</w:t>
      </w:r>
      <w:r>
        <w:rPr>
          <w:sz w:val="22"/>
          <w:szCs w:val="22"/>
        </w:rPr>
        <w:t>omunicações até o final de 2023</w:t>
      </w:r>
      <w:r w:rsidR="00284383">
        <w:rPr>
          <w:sz w:val="22"/>
          <w:szCs w:val="22"/>
        </w:rPr>
        <w:t xml:space="preserve">.  </w:t>
      </w:r>
    </w:p>
    <w:p w14:paraId="5F57A78C" w14:textId="2D81479D" w:rsidR="00C9006B" w:rsidRPr="0038148F" w:rsidRDefault="02BAEB50" w:rsidP="00736361">
      <w:pPr>
        <w:pStyle w:val="Ttulo2"/>
        <w:spacing w:before="240" w:after="120" w:line="276" w:lineRule="auto"/>
        <w:ind w:left="567" w:hanging="510"/>
      </w:pPr>
      <w:bookmarkStart w:id="448" w:name="_Toc1052045"/>
      <w:bookmarkStart w:id="449" w:name="_Toc161319473"/>
      <w:r w:rsidRPr="0038148F">
        <w:t>Avaliação de Desempenho</w:t>
      </w:r>
      <w:bookmarkEnd w:id="448"/>
      <w:bookmarkEnd w:id="449"/>
    </w:p>
    <w:p w14:paraId="7ABFE8C5" w14:textId="0C0D4963" w:rsidR="009C6092" w:rsidRPr="00736361" w:rsidRDefault="005C23DF" w:rsidP="005C23DF">
      <w:pPr>
        <w:spacing w:line="240" w:lineRule="auto"/>
        <w:rPr>
          <w:rFonts w:cs="Arial"/>
          <w:sz w:val="22"/>
          <w:szCs w:val="22"/>
        </w:rPr>
      </w:pPr>
      <w:r w:rsidRPr="005C23DF">
        <w:rPr>
          <w:rFonts w:cs="Arial"/>
          <w:sz w:val="22"/>
          <w:szCs w:val="22"/>
        </w:rPr>
        <w:t xml:space="preserve">A Telebras conduziu sua Avaliação de Desempenho por Competências e Resultados em 2023, com o intuito de avaliar e promover o desenvolvimento profissional dos seus colaboradores. Participaram 311 empregados, que foram avaliados com base no seu desempenho entre 6 de fevereiro a 29 de setembro de 2023. Como resultado, 31 empregados foram promovidos por antiguidade, reconhecendo sua dedicação e tempo de serviço, enquanto 115 receberam promoções por mérito, destacando suas contribuições excepcionais e impacto no sucesso da empresa. Entre os promovidos por mérito, as promoções variaram de um a três níveis salariais, evidenciando o compromisso da Telebras em valorizar e incentivar o alto desempenho. </w:t>
      </w:r>
    </w:p>
    <w:p w14:paraId="6F5D6911" w14:textId="72C087B7" w:rsidR="00C9006B" w:rsidRPr="002B6259" w:rsidRDefault="02BAEB50" w:rsidP="00736361">
      <w:pPr>
        <w:pStyle w:val="Ttulo2"/>
        <w:spacing w:before="240" w:after="120" w:line="276" w:lineRule="auto"/>
        <w:ind w:left="567" w:hanging="567"/>
      </w:pPr>
      <w:bookmarkStart w:id="450" w:name="_Toc1052046"/>
      <w:bookmarkStart w:id="451" w:name="_Toc161319474"/>
      <w:r w:rsidRPr="002B6259">
        <w:lastRenderedPageBreak/>
        <w:t>Capacitação</w:t>
      </w:r>
      <w:bookmarkEnd w:id="450"/>
      <w:bookmarkEnd w:id="451"/>
    </w:p>
    <w:p w14:paraId="11A0A16D" w14:textId="5672A7E4" w:rsidR="002B6259" w:rsidRDefault="005C23DF" w:rsidP="00E17763">
      <w:pPr>
        <w:spacing w:before="120" w:line="240" w:lineRule="auto"/>
      </w:pPr>
      <w:r w:rsidRPr="005C23DF">
        <w:rPr>
          <w:rFonts w:ascii="Calibri" w:eastAsia="Calibri" w:hAnsi="Calibri" w:cs="Calibri"/>
          <w:sz w:val="22"/>
          <w:szCs w:val="22"/>
        </w:rPr>
        <w:t xml:space="preserve">Em 2023, a Telebras investiu mais de 15.500 horas em treinamentos, alcançando uma média de 40 horas por empregado. Essa iniciativa abrangeu cursos da Escola Nacional de Administração Pública (ENAP) e de empresas privadas, destacando-se um curso sobre Governança conforme a Lei 13.303/16 para </w:t>
      </w:r>
      <w:r w:rsidR="009C6092" w:rsidRPr="21E30024">
        <w:rPr>
          <w:rFonts w:ascii="Calibri" w:eastAsia="Calibri" w:hAnsi="Calibri" w:cs="Calibri"/>
          <w:sz w:val="22"/>
          <w:szCs w:val="22"/>
        </w:rPr>
        <w:t>todos os conselheiros, diretores e ao Presidente da Telebras.</w:t>
      </w:r>
      <w:r>
        <w:rPr>
          <w:rFonts w:ascii="Calibri" w:eastAsia="Calibri" w:hAnsi="Calibri" w:cs="Calibri"/>
          <w:sz w:val="22"/>
          <w:szCs w:val="22"/>
        </w:rPr>
        <w:t xml:space="preserve"> </w:t>
      </w:r>
    </w:p>
    <w:p w14:paraId="616012C2" w14:textId="2D46DE3B" w:rsidR="000D1EBC" w:rsidRPr="002B6259" w:rsidRDefault="000D1EBC" w:rsidP="002B6259">
      <w:pPr>
        <w:spacing w:line="240" w:lineRule="auto"/>
        <w:rPr>
          <w:rFonts w:cs="Arial"/>
          <w:sz w:val="22"/>
        </w:rPr>
        <w:sectPr w:rsidR="000D1EBC" w:rsidRPr="002B6259" w:rsidSect="000978E5">
          <w:headerReference w:type="default" r:id="rId44"/>
          <w:type w:val="continuous"/>
          <w:pgSz w:w="11907" w:h="16840" w:code="9"/>
          <w:pgMar w:top="1701" w:right="1134" w:bottom="1531" w:left="1701" w:header="397" w:footer="720" w:gutter="0"/>
          <w:cols w:space="708"/>
          <w:titlePg/>
          <w:docGrid w:linePitch="360"/>
        </w:sectPr>
      </w:pPr>
    </w:p>
    <w:p w14:paraId="16B1702D" w14:textId="4E94EA87" w:rsidR="005F0BD1" w:rsidRPr="0038148F" w:rsidRDefault="1A204EAF" w:rsidP="00736361">
      <w:pPr>
        <w:pStyle w:val="Ttulo1"/>
        <w:spacing w:after="240"/>
        <w:ind w:left="567" w:hanging="567"/>
      </w:pPr>
      <w:bookmarkStart w:id="452" w:name="_Toc161319475"/>
      <w:r w:rsidRPr="0038148F">
        <w:lastRenderedPageBreak/>
        <w:t xml:space="preserve">Licitações </w:t>
      </w:r>
      <w:r w:rsidR="2F19A4A1" w:rsidRPr="0038148F">
        <w:t>e</w:t>
      </w:r>
      <w:r w:rsidRPr="0038148F">
        <w:t xml:space="preserve"> Contratos</w:t>
      </w:r>
      <w:bookmarkEnd w:id="452"/>
    </w:p>
    <w:p w14:paraId="4F027B25" w14:textId="6100571C" w:rsidR="009C6092" w:rsidRPr="00736361" w:rsidRDefault="000A26A1" w:rsidP="009C6092">
      <w:pPr>
        <w:spacing w:after="240" w:line="240" w:lineRule="auto"/>
        <w:rPr>
          <w:rFonts w:cs="Arial"/>
          <w:sz w:val="22"/>
        </w:rPr>
      </w:pPr>
      <w:r w:rsidRPr="000A26A1">
        <w:rPr>
          <w:rFonts w:cs="Arial"/>
          <w:sz w:val="22"/>
        </w:rPr>
        <w:t>Em 2023, a empresa realizou contratações significativas para a aquisição de bens, produtos e serviços, totalizando R$ 133.089.337. Estas contratações foram distribuídas conforme modalidades de licitação específicas, refletindo a aderência rigorosa da Telebras às normativas legais e regulamenta</w:t>
      </w:r>
      <w:r>
        <w:rPr>
          <w:rFonts w:cs="Arial"/>
          <w:sz w:val="22"/>
        </w:rPr>
        <w:t>res em suas operações de compra</w:t>
      </w:r>
      <w:r w:rsidR="009C6092">
        <w:rPr>
          <w:rFonts w:cs="Arial"/>
          <w:sz w:val="22"/>
        </w:rPr>
        <w:t>,</w:t>
      </w:r>
      <w:r w:rsidR="009C6092" w:rsidRPr="00736361">
        <w:rPr>
          <w:rFonts w:cs="Arial"/>
          <w:sz w:val="22"/>
        </w:rPr>
        <w:t xml:space="preserve"> conforme tabela abaixo:</w:t>
      </w:r>
    </w:p>
    <w:p w14:paraId="2D3B1555" w14:textId="58624F45" w:rsidR="009C6092" w:rsidRDefault="00636E96" w:rsidP="009C6092">
      <w:pPr>
        <w:spacing w:line="240" w:lineRule="auto"/>
        <w:jc w:val="center"/>
        <w:rPr>
          <w:rFonts w:eastAsia="Calibri"/>
          <w:sz w:val="22"/>
        </w:rPr>
      </w:pPr>
      <w:r>
        <w:rPr>
          <w:noProof/>
          <w:lang w:eastAsia="pt-BR"/>
        </w:rPr>
        <w:drawing>
          <wp:inline distT="0" distB="0" distL="0" distR="0" wp14:anchorId="5F4F22CE" wp14:editId="79F714D8">
            <wp:extent cx="4657725" cy="1285875"/>
            <wp:effectExtent l="0" t="0" r="9525" b="9525"/>
            <wp:docPr id="1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57725" cy="12858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14:paraId="2406C060" w14:textId="67B539FC" w:rsidR="00636E96" w:rsidRPr="00636E96" w:rsidRDefault="00636E96" w:rsidP="00636E96">
      <w:pPr>
        <w:pStyle w:val="Legenda"/>
      </w:pPr>
      <w:bookmarkStart w:id="453" w:name="_Toc161319868"/>
      <w:r w:rsidRPr="00284383">
        <w:t xml:space="preserve">Tabela </w:t>
      </w:r>
      <w:r w:rsidR="006F713F">
        <w:fldChar w:fldCharType="begin"/>
      </w:r>
      <w:r w:rsidR="006F713F">
        <w:instrText xml:space="preserve"> STYLEREF 1 \s </w:instrText>
      </w:r>
      <w:r w:rsidR="006F713F">
        <w:fldChar w:fldCharType="separate"/>
      </w:r>
      <w:r w:rsidR="00247165">
        <w:rPr>
          <w:noProof/>
        </w:rPr>
        <w:t>9</w:t>
      </w:r>
      <w:r w:rsidR="006F713F">
        <w:rPr>
          <w:noProof/>
        </w:rPr>
        <w:fldChar w:fldCharType="end"/>
      </w:r>
      <w:r w:rsidRPr="00284383">
        <w:noBreakHyphen/>
      </w:r>
      <w:r w:rsidR="006F713F">
        <w:fldChar w:fldCharType="begin"/>
      </w:r>
      <w:r w:rsidR="006F713F">
        <w:instrText xml:space="preserve"> SEQ Tabela \* ARABIC \s 1 </w:instrText>
      </w:r>
      <w:r w:rsidR="006F713F">
        <w:fldChar w:fldCharType="separate"/>
      </w:r>
      <w:r w:rsidR="00247165">
        <w:rPr>
          <w:noProof/>
        </w:rPr>
        <w:t>1</w:t>
      </w:r>
      <w:r w:rsidR="006F713F">
        <w:rPr>
          <w:noProof/>
        </w:rPr>
        <w:fldChar w:fldCharType="end"/>
      </w:r>
      <w:r w:rsidRPr="00284383">
        <w:t xml:space="preserve"> </w:t>
      </w:r>
      <w:r>
        <w:t>Contratos de aquisição e serviços por modalidade de licitação</w:t>
      </w:r>
      <w:bookmarkEnd w:id="453"/>
    </w:p>
    <w:p w14:paraId="2EF53499" w14:textId="77777777" w:rsidR="00216FCA" w:rsidRDefault="00216FCA" w:rsidP="000A26A1">
      <w:pPr>
        <w:spacing w:line="240" w:lineRule="auto"/>
        <w:rPr>
          <w:rFonts w:eastAsia="Calibri"/>
          <w:sz w:val="22"/>
        </w:rPr>
      </w:pPr>
    </w:p>
    <w:p w14:paraId="66BB1D59" w14:textId="651AB279" w:rsidR="000A26A1" w:rsidRPr="00AE3EC3" w:rsidRDefault="000A26A1" w:rsidP="000A26A1">
      <w:pPr>
        <w:spacing w:line="240" w:lineRule="auto"/>
        <w:rPr>
          <w:rFonts w:eastAsia="Calibri"/>
          <w:b/>
          <w:sz w:val="22"/>
        </w:rPr>
      </w:pPr>
      <w:r w:rsidRPr="00AE3EC3">
        <w:rPr>
          <w:rFonts w:eastAsia="Calibri"/>
          <w:b/>
          <w:sz w:val="22"/>
        </w:rPr>
        <w:t>Modalidades de Licitação e Justificativas</w:t>
      </w:r>
    </w:p>
    <w:p w14:paraId="4B92EA68" w14:textId="77777777" w:rsidR="000A26A1" w:rsidRPr="000A26A1" w:rsidRDefault="000A26A1" w:rsidP="000A26A1">
      <w:pPr>
        <w:spacing w:line="240" w:lineRule="auto"/>
        <w:rPr>
          <w:rFonts w:eastAsia="Calibri"/>
          <w:sz w:val="22"/>
        </w:rPr>
      </w:pPr>
      <w:r w:rsidRPr="00AE3EC3">
        <w:rPr>
          <w:rFonts w:eastAsia="Calibri"/>
          <w:b/>
          <w:sz w:val="22"/>
        </w:rPr>
        <w:t>Inexigibilidade de Licitação</w:t>
      </w:r>
      <w:r w:rsidRPr="000A26A1">
        <w:rPr>
          <w:rFonts w:eastAsia="Calibri"/>
          <w:sz w:val="22"/>
        </w:rPr>
        <w:t>: As contratações realizadas sob esta modalidade foram fundamentadas na notória especialização de serviços, incluindo capacitações e outros serviços especializados sem concorrência disponível no mercado, como o fornecimento de energia elétrica e extensões da rede.</w:t>
      </w:r>
    </w:p>
    <w:p w14:paraId="1372CB61" w14:textId="77777777" w:rsidR="000A26A1" w:rsidRPr="000A26A1" w:rsidRDefault="000A26A1" w:rsidP="000A26A1">
      <w:pPr>
        <w:spacing w:line="240" w:lineRule="auto"/>
        <w:rPr>
          <w:rFonts w:eastAsia="Calibri"/>
          <w:sz w:val="22"/>
        </w:rPr>
      </w:pPr>
      <w:r w:rsidRPr="00AE3EC3">
        <w:rPr>
          <w:rFonts w:eastAsia="Calibri"/>
          <w:b/>
          <w:sz w:val="22"/>
        </w:rPr>
        <w:t>Dispensa de Licitação</w:t>
      </w:r>
      <w:r w:rsidRPr="000A26A1">
        <w:rPr>
          <w:rFonts w:eastAsia="Calibri"/>
          <w:sz w:val="22"/>
        </w:rPr>
        <w:t>: Esta modalidade foi aplicada a aquisições de pequeno valor, justificadas pelos critérios estabelecidos nos Incisos I, II, IV e V do Art. 112 do Regulamento de Licitações e Contratos da Telebras (RELIC) e pelos Incisos I, II, IV e V do Art. 29 da Lei nº 13.303/2016.</w:t>
      </w:r>
    </w:p>
    <w:p w14:paraId="7C1A48F0" w14:textId="77777777" w:rsidR="000A26A1" w:rsidRPr="000A26A1" w:rsidRDefault="000A26A1" w:rsidP="000A26A1">
      <w:pPr>
        <w:spacing w:line="240" w:lineRule="auto"/>
        <w:rPr>
          <w:rFonts w:eastAsia="Calibri"/>
          <w:sz w:val="22"/>
        </w:rPr>
      </w:pPr>
      <w:r w:rsidRPr="00AE3EC3">
        <w:rPr>
          <w:rFonts w:eastAsia="Calibri"/>
          <w:b/>
          <w:sz w:val="22"/>
        </w:rPr>
        <w:t>Afastamento de Licitação</w:t>
      </w:r>
      <w:r w:rsidRPr="000A26A1">
        <w:rPr>
          <w:rFonts w:eastAsia="Calibri"/>
          <w:sz w:val="22"/>
        </w:rPr>
        <w:t>: Casos que se enquadram no Inciso I do § 3º do Art. 28 da Lei nº 13.303/2016, destacando situações específicas que permitem a Telebras realizar contratações diretas, de acordo com a legislação.</w:t>
      </w:r>
    </w:p>
    <w:p w14:paraId="689D1D4B" w14:textId="2DDA2707" w:rsidR="072E4470" w:rsidRPr="001C1E13" w:rsidRDefault="000A26A1" w:rsidP="000A26A1">
      <w:pPr>
        <w:spacing w:line="240" w:lineRule="auto"/>
        <w:rPr>
          <w:rFonts w:eastAsia="Calibri"/>
          <w:sz w:val="22"/>
        </w:rPr>
      </w:pPr>
      <w:r w:rsidRPr="00AE3EC3">
        <w:rPr>
          <w:rFonts w:eastAsia="Calibri"/>
          <w:b/>
          <w:sz w:val="22"/>
        </w:rPr>
        <w:t>Pregão Eletrônico</w:t>
      </w:r>
      <w:r w:rsidRPr="000A26A1">
        <w:rPr>
          <w:rFonts w:eastAsia="Calibri"/>
          <w:sz w:val="22"/>
        </w:rPr>
        <w:t>: A modalidade de pregão eletrônico foi utilizada conforme as diretrizes do artigo 32, IV da Lei nº 13.303/2016, Lei nº 10.520/2002, Decreto nº 10.024/2019 e artigo 92, I do RELIC, evidenciando a busca da Telebras pela eficiência e transparência nas contratações públicas.</w:t>
      </w:r>
    </w:p>
    <w:p w14:paraId="41143F4B" w14:textId="77777777" w:rsidR="001B4098" w:rsidRPr="00337BFF" w:rsidRDefault="001B4098" w:rsidP="00035BEE">
      <w:pPr>
        <w:spacing w:line="276" w:lineRule="auto"/>
        <w:rPr>
          <w:rFonts w:cs="Arial"/>
          <w:highlight w:val="yellow"/>
        </w:rPr>
      </w:pPr>
    </w:p>
    <w:p w14:paraId="0BA2B3F7" w14:textId="57D2CD1C" w:rsidR="00845FA3" w:rsidRPr="005C3A02" w:rsidRDefault="3C5723AB" w:rsidP="00950EB9">
      <w:pPr>
        <w:pStyle w:val="Ttulo1"/>
        <w:spacing w:after="240"/>
        <w:ind w:left="567" w:hanging="567"/>
        <w:rPr>
          <w:sz w:val="24"/>
        </w:rPr>
      </w:pPr>
      <w:bookmarkStart w:id="454" w:name="_Toc161319476"/>
      <w:r w:rsidRPr="005C3A02">
        <w:rPr>
          <w:sz w:val="24"/>
        </w:rPr>
        <w:lastRenderedPageBreak/>
        <w:t>Auditoria Externa</w:t>
      </w:r>
      <w:bookmarkEnd w:id="454"/>
      <w:r w:rsidR="00F368A5" w:rsidRPr="005C3A02">
        <w:rPr>
          <w:color w:val="FF0000"/>
          <w:sz w:val="24"/>
        </w:rPr>
        <w:t xml:space="preserve"> </w:t>
      </w:r>
    </w:p>
    <w:p w14:paraId="0D497D79" w14:textId="77777777" w:rsidR="00052435" w:rsidRPr="005C3A02" w:rsidRDefault="00052435" w:rsidP="00052435">
      <w:pPr>
        <w:spacing w:before="120" w:line="240" w:lineRule="auto"/>
        <w:rPr>
          <w:rFonts w:cs="Arial"/>
          <w:sz w:val="22"/>
        </w:rPr>
      </w:pPr>
      <w:r w:rsidRPr="005C3A02">
        <w:rPr>
          <w:rFonts w:cs="Arial"/>
          <w:sz w:val="22"/>
        </w:rPr>
        <w:t xml:space="preserve">Em atenção aos termos da Instrução CVM 381/03, a Telebras esclarece que, em 25 de outubro de 2022, contratou pelo período de três anos a empresa </w:t>
      </w:r>
      <w:proofErr w:type="spellStart"/>
      <w:r w:rsidRPr="005C3A02">
        <w:rPr>
          <w:rFonts w:cs="Arial"/>
          <w:i/>
          <w:iCs/>
          <w:sz w:val="22"/>
        </w:rPr>
        <w:t>Consult</w:t>
      </w:r>
      <w:proofErr w:type="spellEnd"/>
      <w:r w:rsidRPr="005C3A02">
        <w:rPr>
          <w:rFonts w:cs="Arial"/>
          <w:sz w:val="22"/>
        </w:rPr>
        <w:t xml:space="preserve"> – Auditores Independentes, para a prestação de serviços de auditoria independente das demonstrações contábeis, ora apresentada ao mercado. O valor total dos honorários contratados para esse serviço, conforme contrato firmado entre as partes, foi de R$ 160,5 mil.</w:t>
      </w:r>
    </w:p>
    <w:p w14:paraId="575F3BF6" w14:textId="77777777" w:rsidR="00052435" w:rsidRPr="005C3A02" w:rsidRDefault="00052435" w:rsidP="00052435">
      <w:pPr>
        <w:spacing w:before="120" w:line="240" w:lineRule="auto"/>
        <w:rPr>
          <w:rFonts w:cs="Arial"/>
          <w:sz w:val="22"/>
        </w:rPr>
      </w:pPr>
      <w:r w:rsidRPr="005C3A02">
        <w:rPr>
          <w:rFonts w:cs="Arial"/>
          <w:sz w:val="22"/>
        </w:rPr>
        <w:t>Na contratação dos serviços de auditoria independente, as políticas adotadas pela Companhia fundamentam-se nos princípios que preservam a independência do auditor. Esses princípios consistem, de acordo com os padrões internacionalmente aceitos, em: (a) o auditor não deve auditar o seu próprio trabalho; (b) o auditor não deve exercer função de gerência no seu cliente; e (c) o auditor não deve representar legalmente os interesses de seus clientes.</w:t>
      </w:r>
    </w:p>
    <w:p w14:paraId="7B8C1E43" w14:textId="77777777" w:rsidR="00052435" w:rsidRPr="00F368A5" w:rsidRDefault="00052435" w:rsidP="00052435">
      <w:pPr>
        <w:spacing w:before="120" w:line="240" w:lineRule="auto"/>
        <w:rPr>
          <w:rFonts w:cs="Arial"/>
          <w:sz w:val="22"/>
        </w:rPr>
      </w:pPr>
      <w:r w:rsidRPr="005C3A02">
        <w:rPr>
          <w:rFonts w:cs="Arial"/>
          <w:sz w:val="22"/>
        </w:rPr>
        <w:t xml:space="preserve">A </w:t>
      </w:r>
      <w:proofErr w:type="spellStart"/>
      <w:r w:rsidRPr="005C3A02">
        <w:rPr>
          <w:rFonts w:cs="Arial"/>
          <w:i/>
          <w:iCs/>
          <w:sz w:val="22"/>
        </w:rPr>
        <w:t>Consult</w:t>
      </w:r>
      <w:proofErr w:type="spellEnd"/>
      <w:r w:rsidRPr="005C3A02">
        <w:rPr>
          <w:rFonts w:cs="Arial"/>
          <w:sz w:val="22"/>
        </w:rPr>
        <w:t xml:space="preserve"> – Auditores Independentes declarou que a prestação dos serviços foi feita em estrita observância das normas contábeis que tratam da independência dos auditores independentes em trabalhos de auditoria e não representaram situação que poderia afetar a independência e a objetividade ao desempenho de seus serviços de auditoria externa.</w:t>
      </w:r>
    </w:p>
    <w:p w14:paraId="163DAA21" w14:textId="064A6F5D" w:rsidR="000D2941" w:rsidRPr="00AE3EC3" w:rsidRDefault="39278D62" w:rsidP="007243ED">
      <w:pPr>
        <w:pStyle w:val="Ttulo1"/>
        <w:ind w:left="567" w:hanging="567"/>
        <w:rPr>
          <w:color w:val="FF0000"/>
        </w:rPr>
      </w:pPr>
      <w:bookmarkStart w:id="455" w:name="_Toc161319477"/>
      <w:r w:rsidRPr="00AE3EC3">
        <w:lastRenderedPageBreak/>
        <w:t>Declaração dos Diretores sobre os Relatórios de Auditoria e Demonstrações Contábeis</w:t>
      </w:r>
      <w:bookmarkEnd w:id="455"/>
    </w:p>
    <w:p w14:paraId="1A6FDABA" w14:textId="708969C1" w:rsidR="00071E4B" w:rsidRPr="00AE3EC3" w:rsidRDefault="00071E4B" w:rsidP="008F0A60">
      <w:pPr>
        <w:spacing w:before="120" w:line="240" w:lineRule="auto"/>
        <w:rPr>
          <w:sz w:val="22"/>
        </w:rPr>
      </w:pPr>
      <w:r w:rsidRPr="00AE3EC3">
        <w:rPr>
          <w:sz w:val="22"/>
        </w:rPr>
        <w:t>Em at</w:t>
      </w:r>
      <w:r w:rsidR="008E19FF" w:rsidRPr="00AE3EC3">
        <w:rPr>
          <w:sz w:val="22"/>
        </w:rPr>
        <w:t>endimento ao disposto no art. 27</w:t>
      </w:r>
      <w:r w:rsidRPr="00AE3EC3">
        <w:rPr>
          <w:sz w:val="22"/>
        </w:rPr>
        <w:t>, parágrafo 1º, incis</w:t>
      </w:r>
      <w:r w:rsidR="008E19FF" w:rsidRPr="00AE3EC3">
        <w:rPr>
          <w:sz w:val="22"/>
        </w:rPr>
        <w:t xml:space="preserve">os V e VI, da Instrução CVM nº </w:t>
      </w:r>
      <w:r w:rsidRPr="00AE3EC3">
        <w:rPr>
          <w:sz w:val="22"/>
        </w:rPr>
        <w:t xml:space="preserve">80, de </w:t>
      </w:r>
      <w:r w:rsidR="008E19FF" w:rsidRPr="00AE3EC3">
        <w:rPr>
          <w:sz w:val="22"/>
        </w:rPr>
        <w:t>29</w:t>
      </w:r>
      <w:r w:rsidRPr="00AE3EC3">
        <w:rPr>
          <w:sz w:val="22"/>
        </w:rPr>
        <w:t xml:space="preserve"> de </w:t>
      </w:r>
      <w:r w:rsidR="008E19FF" w:rsidRPr="00AE3EC3">
        <w:rPr>
          <w:sz w:val="22"/>
        </w:rPr>
        <w:t>março de 2022</w:t>
      </w:r>
      <w:r w:rsidRPr="00AE3EC3">
        <w:rPr>
          <w:sz w:val="22"/>
        </w:rPr>
        <w:t>, os Diretores da Telecomunicações Brasileiras S.A. – Telebras, inscrita no CNPJ nº 00.336.701/0001-04, declaram:</w:t>
      </w:r>
      <w:r w:rsidR="004163EE" w:rsidRPr="00AE3EC3">
        <w:rPr>
          <w:sz w:val="22"/>
        </w:rPr>
        <w:t xml:space="preserve"> </w:t>
      </w:r>
    </w:p>
    <w:p w14:paraId="49A6288F" w14:textId="31B77F6A" w:rsidR="00071E4B" w:rsidRPr="00AE3EC3" w:rsidRDefault="00071E4B" w:rsidP="008F0A60">
      <w:pPr>
        <w:spacing w:before="120" w:line="240" w:lineRule="auto"/>
        <w:ind w:left="851"/>
        <w:rPr>
          <w:sz w:val="22"/>
        </w:rPr>
      </w:pPr>
      <w:r w:rsidRPr="00AE3EC3">
        <w:rPr>
          <w:sz w:val="22"/>
        </w:rPr>
        <w:t>(I)</w:t>
      </w:r>
      <w:r w:rsidRPr="00AE3EC3">
        <w:rPr>
          <w:sz w:val="22"/>
        </w:rPr>
        <w:tab/>
      </w:r>
      <w:r w:rsidR="00A53EF4">
        <w:rPr>
          <w:sz w:val="22"/>
        </w:rPr>
        <w:t xml:space="preserve"> </w:t>
      </w:r>
      <w:r w:rsidRPr="00AE3EC3">
        <w:rPr>
          <w:sz w:val="22"/>
        </w:rPr>
        <w:t xml:space="preserve">baseados em seus conhecimentos, no </w:t>
      </w:r>
      <w:r w:rsidR="00012BC0" w:rsidRPr="00AE3EC3">
        <w:rPr>
          <w:sz w:val="22"/>
        </w:rPr>
        <w:t xml:space="preserve">relatório </w:t>
      </w:r>
      <w:r w:rsidRPr="00AE3EC3">
        <w:rPr>
          <w:sz w:val="22"/>
        </w:rPr>
        <w:t xml:space="preserve">apresentado pelos auditores e nas discussões subsequentes sobre os resultados de auditoria, que concordam com as opiniões expressas no relatório elaborado pelos auditores da empresa </w:t>
      </w:r>
      <w:proofErr w:type="spellStart"/>
      <w:r w:rsidRPr="00AE3EC3">
        <w:rPr>
          <w:sz w:val="22"/>
        </w:rPr>
        <w:t>Consult</w:t>
      </w:r>
      <w:proofErr w:type="spellEnd"/>
      <w:r w:rsidRPr="00AE3EC3">
        <w:rPr>
          <w:sz w:val="22"/>
        </w:rPr>
        <w:t xml:space="preserve"> – Auditores Independentes, </w:t>
      </w:r>
      <w:r w:rsidRPr="00A23E69">
        <w:rPr>
          <w:sz w:val="22"/>
        </w:rPr>
        <w:t xml:space="preserve">emitido em </w:t>
      </w:r>
      <w:r w:rsidR="00A23E69" w:rsidRPr="00C7064D">
        <w:rPr>
          <w:sz w:val="22"/>
        </w:rPr>
        <w:t xml:space="preserve">05 </w:t>
      </w:r>
      <w:r w:rsidR="00B1676D" w:rsidRPr="00C7064D">
        <w:rPr>
          <w:sz w:val="22"/>
        </w:rPr>
        <w:t>d</w:t>
      </w:r>
      <w:r w:rsidR="00C2287F" w:rsidRPr="00C7064D">
        <w:rPr>
          <w:sz w:val="22"/>
        </w:rPr>
        <w:t xml:space="preserve">e </w:t>
      </w:r>
      <w:r w:rsidR="00B1676D" w:rsidRPr="00C7064D">
        <w:rPr>
          <w:sz w:val="22"/>
        </w:rPr>
        <w:t>março</w:t>
      </w:r>
      <w:r w:rsidR="008E19FF" w:rsidRPr="00C7064D">
        <w:rPr>
          <w:sz w:val="22"/>
        </w:rPr>
        <w:t xml:space="preserve"> de </w:t>
      </w:r>
      <w:r w:rsidR="00A53EF4" w:rsidRPr="00C7064D">
        <w:rPr>
          <w:sz w:val="22"/>
        </w:rPr>
        <w:t>2023</w:t>
      </w:r>
      <w:r w:rsidR="00C2287F" w:rsidRPr="00C7064D">
        <w:rPr>
          <w:sz w:val="22"/>
        </w:rPr>
        <w:t xml:space="preserve">, </w:t>
      </w:r>
      <w:r w:rsidRPr="00C7064D">
        <w:rPr>
          <w:sz w:val="22"/>
        </w:rPr>
        <w:t>não havendo</w:t>
      </w:r>
      <w:r w:rsidRPr="00AE3EC3">
        <w:rPr>
          <w:sz w:val="22"/>
        </w:rPr>
        <w:t xml:space="preserve"> qualquer discordância com relação às Demonstrações Contábeis relativas ao exercício social encerrado em 31 de dezembro de </w:t>
      </w:r>
      <w:r w:rsidR="00A53EF4" w:rsidRPr="00AE3EC3">
        <w:rPr>
          <w:sz w:val="22"/>
        </w:rPr>
        <w:t>202</w:t>
      </w:r>
      <w:r w:rsidR="00A53EF4">
        <w:rPr>
          <w:sz w:val="22"/>
        </w:rPr>
        <w:t>3</w:t>
      </w:r>
      <w:r w:rsidRPr="00AE3EC3">
        <w:rPr>
          <w:sz w:val="22"/>
        </w:rPr>
        <w:t>.</w:t>
      </w:r>
    </w:p>
    <w:p w14:paraId="23FB5E48" w14:textId="0ED9AE70" w:rsidR="00071E4B" w:rsidRPr="004312C6" w:rsidRDefault="00071E4B" w:rsidP="008F0A60">
      <w:pPr>
        <w:spacing w:before="120" w:line="240" w:lineRule="auto"/>
        <w:ind w:left="851"/>
        <w:rPr>
          <w:sz w:val="22"/>
        </w:rPr>
      </w:pPr>
      <w:r w:rsidRPr="00AE3EC3">
        <w:rPr>
          <w:sz w:val="22"/>
        </w:rPr>
        <w:t>(II)</w:t>
      </w:r>
      <w:r w:rsidR="00A53EF4">
        <w:rPr>
          <w:sz w:val="22"/>
        </w:rPr>
        <w:t xml:space="preserve"> </w:t>
      </w:r>
      <w:r w:rsidRPr="00AE3EC3">
        <w:rPr>
          <w:sz w:val="22"/>
        </w:rPr>
        <w:tab/>
        <w:t xml:space="preserve">que </w:t>
      </w:r>
      <w:r w:rsidR="005D52B2" w:rsidRPr="00AE3EC3">
        <w:rPr>
          <w:sz w:val="22"/>
        </w:rPr>
        <w:t xml:space="preserve">revisaram </w:t>
      </w:r>
      <w:r w:rsidRPr="00AE3EC3">
        <w:rPr>
          <w:sz w:val="22"/>
        </w:rPr>
        <w:t xml:space="preserve">o relatório dos referidos auditores sobre as Demonstrações Contábeis relativas ao exercício encerrado em 31 de dezembro de </w:t>
      </w:r>
      <w:r w:rsidR="00A53EF4" w:rsidRPr="00AE3EC3">
        <w:rPr>
          <w:sz w:val="22"/>
        </w:rPr>
        <w:t>2023</w:t>
      </w:r>
      <w:r w:rsidRPr="00AE3EC3">
        <w:rPr>
          <w:sz w:val="22"/>
        </w:rPr>
        <w:t>, da Telecomunicações Brasileiras S.A - Telebras e, baseados nas discussões subsequentes, concordam que tais demonstrações refletem adequadamente</w:t>
      </w:r>
      <w:r w:rsidR="007066A9" w:rsidRPr="00AE3EC3">
        <w:rPr>
          <w:sz w:val="22"/>
        </w:rPr>
        <w:t>,</w:t>
      </w:r>
      <w:r w:rsidRPr="00AE3EC3">
        <w:rPr>
          <w:sz w:val="22"/>
        </w:rPr>
        <w:t xml:space="preserve"> em todos os aspectos relevantes, a posição patrimonial e financeira correspondente ao exercício apresentado.</w:t>
      </w:r>
    </w:p>
    <w:p w14:paraId="644762A2" w14:textId="5C385086" w:rsidR="00AF5026" w:rsidRPr="00212531" w:rsidRDefault="00AF5026" w:rsidP="00035BEE">
      <w:pPr>
        <w:spacing w:line="276" w:lineRule="auto"/>
        <w:rPr>
          <w:rFonts w:cs="Arial"/>
          <w:color w:val="FF0000"/>
        </w:rPr>
      </w:pPr>
    </w:p>
    <w:sectPr w:rsidR="00AF5026" w:rsidRPr="00212531" w:rsidSect="008736B5">
      <w:pgSz w:w="11907" w:h="16840" w:code="9"/>
      <w:pgMar w:top="1701" w:right="1134" w:bottom="1531"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2D98B" w14:textId="77777777" w:rsidR="00EE2214" w:rsidRDefault="00EE2214">
      <w:r>
        <w:separator/>
      </w:r>
    </w:p>
    <w:p w14:paraId="01109EC3" w14:textId="77777777" w:rsidR="00EE2214" w:rsidRDefault="00EE2214"/>
    <w:p w14:paraId="75A75CA7" w14:textId="77777777" w:rsidR="00EE2214" w:rsidRDefault="00EE2214"/>
    <w:p w14:paraId="309A6D41" w14:textId="77777777" w:rsidR="00EE2214" w:rsidRDefault="00EE2214"/>
  </w:endnote>
  <w:endnote w:type="continuationSeparator" w:id="0">
    <w:p w14:paraId="4862073F" w14:textId="77777777" w:rsidR="00EE2214" w:rsidRDefault="00EE2214">
      <w:r>
        <w:continuationSeparator/>
      </w:r>
    </w:p>
    <w:p w14:paraId="73BCE5E8" w14:textId="77777777" w:rsidR="00EE2214" w:rsidRDefault="00EE2214"/>
    <w:p w14:paraId="30CCF64F" w14:textId="77777777" w:rsidR="00EE2214" w:rsidRDefault="00EE2214"/>
    <w:p w14:paraId="42120672" w14:textId="77777777" w:rsidR="00EE2214" w:rsidRDefault="00EE2214"/>
  </w:endnote>
  <w:endnote w:type="continuationNotice" w:id="1">
    <w:p w14:paraId="0FFF2D09" w14:textId="77777777" w:rsidR="00EE2214" w:rsidRDefault="00EE221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rthold Akzidenz Grotesk BE">
    <w:altName w:val="Calibri"/>
    <w:panose1 w:val="00000000000000000000"/>
    <w:charset w:val="00"/>
    <w:family w:val="swiss"/>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FiraSans-Light">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29FE7" w14:textId="77777777" w:rsidR="00EE2214" w:rsidRDefault="00EE2214">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D7B14" w14:textId="2632EE1E" w:rsidR="00EE2214" w:rsidRDefault="00EE2214" w:rsidP="009D62AB">
    <w:pPr>
      <w:pStyle w:val="Rodap"/>
      <w:jc w:val="right"/>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247165">
      <w:rPr>
        <w:caps/>
        <w:noProof/>
        <w:color w:val="4F81BD" w:themeColor="accent1"/>
      </w:rPr>
      <w:t>4</w:t>
    </w:r>
    <w:r>
      <w:rPr>
        <w:caps/>
        <w:color w:val="4F81BD" w:themeColor="accent1"/>
      </w:rPr>
      <w:fldChar w:fldCharType="end"/>
    </w:r>
  </w:p>
  <w:p w14:paraId="43ED5D02" w14:textId="77777777" w:rsidR="00EE2214" w:rsidRDefault="00EE2214">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4E4E2" w14:textId="3C1B6648" w:rsidR="00EE2214" w:rsidRDefault="00EE2214" w:rsidP="003A5C94">
    <w:pPr>
      <w:pStyle w:val="Rodap"/>
      <w:jc w:val="right"/>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247165">
      <w:rPr>
        <w:caps/>
        <w:noProof/>
        <w:color w:val="4F81BD" w:themeColor="accent1"/>
      </w:rPr>
      <w:t>1</w:t>
    </w:r>
    <w:r>
      <w:rPr>
        <w:caps/>
        <w:color w:val="4F81BD" w:themeColor="accent1"/>
      </w:rPr>
      <w:fldChar w:fldCharType="end"/>
    </w:r>
  </w:p>
  <w:p w14:paraId="0AC2EBA9" w14:textId="77777777" w:rsidR="00EE2214" w:rsidRDefault="00EE2214">
    <w:pPr>
      <w:pStyle w:val="Rodap"/>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232CF" w14:textId="47FCA6BE" w:rsidR="00EE2214" w:rsidRDefault="00EE2214" w:rsidP="009D62AB">
    <w:pPr>
      <w:pStyle w:val="Rodap"/>
      <w:jc w:val="right"/>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247165">
      <w:rPr>
        <w:caps/>
        <w:noProof/>
        <w:color w:val="4F81BD" w:themeColor="accent1"/>
      </w:rPr>
      <w:t>50</w:t>
    </w:r>
    <w:r>
      <w:rPr>
        <w:caps/>
        <w:color w:val="4F81BD" w:themeColor="accent1"/>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84A9C" w14:textId="6AB9BFAC" w:rsidR="00EE2214" w:rsidRDefault="00EE2214" w:rsidP="009D62AB">
    <w:pPr>
      <w:pStyle w:val="Rodap"/>
      <w:jc w:val="right"/>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247165">
      <w:rPr>
        <w:caps/>
        <w:noProof/>
        <w:color w:val="4F81BD" w:themeColor="accent1"/>
      </w:rPr>
      <w:t>48</w:t>
    </w:r>
    <w:r>
      <w:rPr>
        <w:caps/>
        <w:color w:val="4F81BD" w:themeColor="accent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1DC69E" w14:textId="77777777" w:rsidR="00EE2214" w:rsidRDefault="00EE2214">
      <w:r>
        <w:separator/>
      </w:r>
    </w:p>
    <w:p w14:paraId="02595506" w14:textId="77777777" w:rsidR="00EE2214" w:rsidRDefault="00EE2214"/>
    <w:p w14:paraId="381F6E71" w14:textId="77777777" w:rsidR="00EE2214" w:rsidRDefault="00EE2214"/>
    <w:p w14:paraId="28DCC5CA" w14:textId="77777777" w:rsidR="00EE2214" w:rsidRDefault="00EE2214"/>
  </w:footnote>
  <w:footnote w:type="continuationSeparator" w:id="0">
    <w:p w14:paraId="68F14820" w14:textId="77777777" w:rsidR="00EE2214" w:rsidRDefault="00EE2214">
      <w:r>
        <w:continuationSeparator/>
      </w:r>
    </w:p>
    <w:p w14:paraId="0B68E525" w14:textId="77777777" w:rsidR="00EE2214" w:rsidRDefault="00EE2214"/>
    <w:p w14:paraId="522B7709" w14:textId="77777777" w:rsidR="00EE2214" w:rsidRDefault="00EE2214"/>
    <w:p w14:paraId="68826FC1" w14:textId="77777777" w:rsidR="00EE2214" w:rsidRDefault="00EE2214"/>
  </w:footnote>
  <w:footnote w:type="continuationNotice" w:id="1">
    <w:p w14:paraId="5C78C674" w14:textId="77777777" w:rsidR="00EE2214" w:rsidRDefault="00EE2214">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31A9E" w14:textId="7730A606" w:rsidR="00EE2214" w:rsidRDefault="00EE2214">
    <w:pPr>
      <w:pStyle w:val="Cabealh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3</w:t>
    </w:r>
    <w:r>
      <w:rPr>
        <w:rStyle w:val="Nmerodepgina"/>
      </w:rPr>
      <w:fldChar w:fldCharType="end"/>
    </w:r>
  </w:p>
  <w:p w14:paraId="1580D0DB" w14:textId="77777777" w:rsidR="00EE2214" w:rsidRDefault="00EE2214">
    <w:pPr>
      <w:ind w:right="397"/>
      <w:jc w:val="right"/>
      <w:rPr>
        <w:b/>
        <w:color w:val="808080"/>
        <w:sz w:val="20"/>
      </w:rPr>
    </w:pPr>
    <w:r>
      <w:rPr>
        <w:noProof/>
        <w:lang w:eastAsia="pt-BR"/>
      </w:rPr>
      <mc:AlternateContent>
        <mc:Choice Requires="wps">
          <w:drawing>
            <wp:anchor distT="0" distB="0" distL="114300" distR="114300" simplePos="0" relativeHeight="251658240" behindDoc="0" locked="0" layoutInCell="0" allowOverlap="1" wp14:anchorId="4F232C1D" wp14:editId="71CE0688">
              <wp:simplePos x="0" y="0"/>
              <wp:positionH relativeFrom="column">
                <wp:posOffset>0</wp:posOffset>
              </wp:positionH>
              <wp:positionV relativeFrom="paragraph">
                <wp:posOffset>172720</wp:posOffset>
              </wp:positionV>
              <wp:extent cx="5507990" cy="0"/>
              <wp:effectExtent l="9525" t="10795" r="6985" b="8255"/>
              <wp:wrapNone/>
              <wp:docPr id="18"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7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396F1" id="Line 7"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6pt" to="433.7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AyOEgIAACk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aglCId&#10;aLQViqOn0JreuAIiKrWzoTh6Vi9mq+l3h5SuWqIOPFJ8vRhIy0JG8iYlbJyBC/b9Z80ghhy9jn06&#10;N7YLkNABdI5yXO5y8LNHFA6n0/RpsQDV6OBLSDEkGuv8J647FIwSS+Acgclp63wgQoohJNyj9EZI&#10;GdWWCvUlXkwn05jgtBQsOEOYs4d9JS06kTAv8YtVgecxzOqjYhGs5YStb7YnQl5tuFyqgAelAJ2b&#10;dR2IH4t0sZ6v5/kon8zWozyt69HHTZWPZpvsaVp/qKuqzn4GalletIIxrgK7YTiz/O/Evz2T61jd&#10;x/PehuQteuwXkB3+kXTUMsh3HYS9ZpedHTSGeYzBt7cTBv5xD/bjC1/9AgAA//8DAFBLAwQUAAYA&#10;CAAAACEAzsC349sAAAAGAQAADwAAAGRycy9kb3ducmV2LnhtbEyPwU7DMBBE70j9B2srcamoQ0Bt&#10;FbKpEJAbF9oirtt4SSLidRq7beDrMeIAx50ZzbzN16Pt1IkH3zpBuJ4noFgqZ1qpEXbb8moFygcS&#10;Q50TRvhkD+ticpFTZtxZXvi0CbWKJeIzQmhC6DOtfdWwJT93PUv03t1gKcRzqLUZ6BzLbafTJFlo&#10;S63EhYZ6fmi4+tgcLYIvX/lQfs2qWfJ2UztOD4/PT4R4OR3v70AFHsNfGH7wIzoUkWnvjmK86hDi&#10;IwEhXaagortaLG9B7X8FXeT6P37xDQAA//8DAFBLAQItABQABgAIAAAAIQC2gziS/gAAAOEBAAAT&#10;AAAAAAAAAAAAAAAAAAAAAABbQ29udGVudF9UeXBlc10ueG1sUEsBAi0AFAAGAAgAAAAhADj9If/W&#10;AAAAlAEAAAsAAAAAAAAAAAAAAAAALwEAAF9yZWxzLy5yZWxzUEsBAi0AFAAGAAgAAAAhADmADI4S&#10;AgAAKQQAAA4AAAAAAAAAAAAAAAAALgIAAGRycy9lMm9Eb2MueG1sUEsBAi0AFAAGAAgAAAAhAM7A&#10;t+PbAAAABgEAAA8AAAAAAAAAAAAAAAAAbAQAAGRycy9kb3ducmV2LnhtbFBLBQYAAAAABAAEAPMA&#10;AAB0BQAAAAA=&#10;" o:allowincell="f"/>
          </w:pict>
        </mc:Fallback>
      </mc:AlternateContent>
    </w:r>
    <w:r>
      <w:rPr>
        <w:b/>
        <w:color w:val="808080"/>
        <w:sz w:val="20"/>
      </w:rPr>
      <w:t>DISCUSSÃO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523D6" w14:textId="77777777" w:rsidR="00EE2214" w:rsidRDefault="00EE2214" w:rsidP="003D4A07">
    <w:pPr>
      <w:pStyle w:val="Cabealho"/>
      <w:jc w:val="right"/>
    </w:pPr>
    <w:r w:rsidRPr="00B10669">
      <w:rPr>
        <w:noProof/>
        <w:lang w:eastAsia="pt-BR"/>
      </w:rPr>
      <mc:AlternateContent>
        <mc:Choice Requires="wps">
          <w:drawing>
            <wp:anchor distT="0" distB="0" distL="114300" distR="114300" simplePos="0" relativeHeight="251658247" behindDoc="0" locked="0" layoutInCell="1" allowOverlap="1" wp14:anchorId="598C9A90" wp14:editId="02126DA5">
              <wp:simplePos x="0" y="0"/>
              <wp:positionH relativeFrom="column">
                <wp:posOffset>-601345</wp:posOffset>
              </wp:positionH>
              <wp:positionV relativeFrom="paragraph">
                <wp:posOffset>410210</wp:posOffset>
              </wp:positionV>
              <wp:extent cx="7200900" cy="0"/>
              <wp:effectExtent l="0" t="0" r="0" b="0"/>
              <wp:wrapNone/>
              <wp:docPr id="61" name="Conector reto 61"/>
              <wp:cNvGraphicFramePr/>
              <a:graphic xmlns:a="http://schemas.openxmlformats.org/drawingml/2006/main">
                <a:graphicData uri="http://schemas.microsoft.com/office/word/2010/wordprocessingShape">
                  <wps:wsp>
                    <wps:cNvCnPr/>
                    <wps:spPr>
                      <a:xfrm>
                        <a:off x="0" y="0"/>
                        <a:ext cx="7200900"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E0DAB3E" id="Conector reto 61" o:spid="_x0000_s1026" style="position:absolute;z-index:25165824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35pt,32.3pt" to="519.6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NkE8wEAAEkEAAAOAAAAZHJzL2Uyb0RvYy54bWysVE1v2zAMvQ/YfxB0X+wUW7YacXpI0V32&#10;EazbD1BlKhYgiYKkxsm/HyUlbrueNswH2aL4SL5HyuubozXsACFqdD1fLlrOwEkctNv3/NfPu3ef&#10;OItJuEEYdNDzE0R+s3n7Zj35Dq5wRDNAYBTExW7yPR9T8l3TRDmCFXGBHhwdKgxWJNqGfTMEMVF0&#10;a5qrtl01E4bBB5QQI1lv6yHflPhKgUzflYqQmOk51ZbKGsr6kNdmsxbdPgg/ankuQ/xDFVZoR0nn&#10;ULciCfYY9KtQVsuAEVVaSLQNKqUlFA7EZtn+weZ+FB4KFxIn+lmm+P/Cym+HXWB66PlqyZkTlnq0&#10;pU7JhIEFSMjITiJNPnbku3W7cN5FvwuZ8VEFm9/EhR2LsKdZWDgmJsn4kVp13ZL+8nLWPAF9iOkz&#10;oGX5o+dGu8xZdOLwJSZKRq4Xl2w2jk00adfth7a4RTR6uNPG5MMyN7A1gR0EdVxICS4ti595tF9x&#10;qPZVS0/tPZlpQqr5/cVMKedIpYBnSejMODJmRaoG5SudDNTyfoAiQYl1zTsHellSJWYceWeYIgIz&#10;8Ews34HXXCrw7J+hUMb8b8AzomRGl2aw1Q5DlfVl9nQsY0DkVfW/KFB5ZwkecDiV6SjS0LwW5c53&#10;K1+I5/sCf/oDbH4DAAD//wMAUEsDBBQABgAIAAAAIQCPOTXT3gAAAAoBAAAPAAAAZHJzL2Rvd25y&#10;ZXYueG1sTI9BTsMwEEX3SNzBGiR2rUNThTaNUyFEF6wQKQdw42nsEo+j2G0Mp8cVC1jOzNOf96tt&#10;tD274OiNIwEP8wwYUuuUoU7Ax343WwHzQZKSvSMU8IUetvXtTSVL5SZ6x0sTOpZCyJdSgA5hKDn3&#10;rUYr/dwNSOl2dKOVIY1jx9UopxRue77IsoJbaSh90HLAZ43tZ3O2AnJ92r/kC3ncmfD9+tbouDJT&#10;FOL+Lj5tgAWM4Q+Gq35Shzo5HdyZlGe9gNl6+ZhQAcWyAHYFsnydAzv8bnhd8f8V6h8AAAD//wMA&#10;UEsBAi0AFAAGAAgAAAAhALaDOJL+AAAA4QEAABMAAAAAAAAAAAAAAAAAAAAAAFtDb250ZW50X1R5&#10;cGVzXS54bWxQSwECLQAUAAYACAAAACEAOP0h/9YAAACUAQAACwAAAAAAAAAAAAAAAAAvAQAAX3Jl&#10;bHMvLnJlbHNQSwECLQAUAAYACAAAACEAi6zZBPMBAABJBAAADgAAAAAAAAAAAAAAAAAuAgAAZHJz&#10;L2Uyb0RvYy54bWxQSwECLQAUAAYACAAAACEAjzk1094AAAAKAQAADwAAAAAAAAAAAAAAAABNBAAA&#10;ZHJzL2Rvd25yZXYueG1sUEsFBgAAAAAEAAQA8wAAAFgFAAAAAA==&#10;" strokecolor="#95b3d7 [1940]" strokeweight="1.5pt"/>
          </w:pict>
        </mc:Fallback>
      </mc:AlternateContent>
    </w:r>
    <w:r w:rsidRPr="00B10669">
      <w:rPr>
        <w:noProof/>
        <w:lang w:eastAsia="pt-BR"/>
      </w:rPr>
      <mc:AlternateContent>
        <mc:Choice Requires="wps">
          <w:drawing>
            <wp:anchor distT="0" distB="0" distL="114300" distR="114300" simplePos="0" relativeHeight="251658248" behindDoc="0" locked="0" layoutInCell="1" allowOverlap="1" wp14:anchorId="1804F290" wp14:editId="10DA4AD2">
              <wp:simplePos x="0" y="0"/>
              <wp:positionH relativeFrom="column">
                <wp:posOffset>-182245</wp:posOffset>
              </wp:positionH>
              <wp:positionV relativeFrom="paragraph">
                <wp:posOffset>444500</wp:posOffset>
              </wp:positionV>
              <wp:extent cx="6680200" cy="0"/>
              <wp:effectExtent l="0" t="0" r="0" b="0"/>
              <wp:wrapNone/>
              <wp:docPr id="62" name="Conector reto 62"/>
              <wp:cNvGraphicFramePr/>
              <a:graphic xmlns:a="http://schemas.openxmlformats.org/drawingml/2006/main">
                <a:graphicData uri="http://schemas.microsoft.com/office/word/2010/wordprocessingShape">
                  <wps:wsp>
                    <wps:cNvCnPr/>
                    <wps:spPr>
                      <a:xfrm>
                        <a:off x="0" y="0"/>
                        <a:ext cx="6680200" cy="0"/>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84C119" id="Conector reto 62" o:spid="_x0000_s1026" style="position:absolute;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pt,35pt" to="51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JpT5QEAADIEAAAOAAAAZHJzL2Uyb0RvYy54bWysU02P2yAQvVfqf0DcGzuREm2tOHvIanvp&#10;R9R2fwCLhxgJGARsnPz7Dthxqm1VqVV9wDAzb2beY9jen61hJwhRo2v5clFzBk5ip92x5U/fH9/d&#10;cRaTcJ0w6KDlF4j8fvf2zXbwDaywR9NBYJTExWbwLe9T8k1VRdmDFXGBHhw5FQYrEh3DseqCGCi7&#10;NdWqrjfVgKHzASXESNaH0cl3Jb9SINMXpSIkZlpOvaWyhrI+57XabUVzDML3Wk5tiH/owgrtqOic&#10;6kEkwV6C/iWV1TJgRJUWEm2FSmkJhQOxWdav2HzrhYfChcSJfpYp/r+08vPpEJjuWr5ZceaEpTva&#10;003JhIEFSMjITiINPjYUu3eHMJ2iP4TM+KyCzX/iws5F2MssLJwTk2TcbO5qui3O5NVX3YA+xPQB&#10;0LK8abnRLnMWjTh9jImKUeg1JJuNYwNN2vt6XZewiEZ3j9qY7CxzA3sT2EnQjQspwaV1iTMv9hN2&#10;o31d05dpUe4ZMp5u2chnHBkz9ZFs2aWLgbGPr6BIOaK3HBvJM/u69nKqYhxFZ5iiTmfgxOBPwCk+&#10;Q6HM89+AZ0SpjC7NYKsdht+1nc7XltUYf1Vg5J0leMbuUsagSEODWZSbHlGe/J/PBX576rsfAAAA&#10;//8DAFBLAwQUAAYACAAAACEACFxOpt4AAAAKAQAADwAAAGRycy9kb3ducmV2LnhtbEyPwUrDQBCG&#10;74LvsIzgrd11C7ak2RQRRPSg2IrgbZqdJsHsbMhumujTu8VDPc7Mxz/fn28m14oj9aHxbOBmrkAQ&#10;l942XBl43z3MViBCRLbYeiYD3xRgU1xe5JhZP/IbHbexEimEQ4YG6hi7TMpQ1uQwzH1HnG4H3zuM&#10;aewraXscU7hrpVbqVjpsOH2osaP7msqv7eAMfOAwetfb19Dpn8cXNT3p592nMddX090aRKQpnmE4&#10;6Sd1KJLT3g9sg2gNzPRqmVADS5U6nQClFwsQ+7+NLHL5v0LxCwAA//8DAFBLAQItABQABgAIAAAA&#10;IQC2gziS/gAAAOEBAAATAAAAAAAAAAAAAAAAAAAAAABbQ29udGVudF9UeXBlc10ueG1sUEsBAi0A&#10;FAAGAAgAAAAhADj9If/WAAAAlAEAAAsAAAAAAAAAAAAAAAAALwEAAF9yZWxzLy5yZWxzUEsBAi0A&#10;FAAGAAgAAAAhANvkmlPlAQAAMgQAAA4AAAAAAAAAAAAAAAAALgIAAGRycy9lMm9Eb2MueG1sUEsB&#10;Ai0AFAAGAAgAAAAhAAhcTqbeAAAACgEAAA8AAAAAAAAAAAAAAAAAPwQAAGRycy9kb3ducmV2Lnht&#10;bFBLBQYAAAAABAAEAPMAAABKBQAAAAA=&#10;" strokecolor="#205867 [1608]" strokeweight="1.5pt"/>
          </w:pict>
        </mc:Fallback>
      </mc:AlternateContent>
    </w:r>
    <w:r w:rsidRPr="00B10669">
      <w:rPr>
        <w:noProof/>
        <w:lang w:eastAsia="pt-BR"/>
      </w:rPr>
      <w:drawing>
        <wp:anchor distT="0" distB="0" distL="114300" distR="114300" simplePos="0" relativeHeight="251658249" behindDoc="0" locked="0" layoutInCell="1" allowOverlap="1" wp14:anchorId="21750FDD" wp14:editId="22EE6642">
          <wp:simplePos x="0" y="0"/>
          <wp:positionH relativeFrom="column">
            <wp:posOffset>5058888</wp:posOffset>
          </wp:positionH>
          <wp:positionV relativeFrom="paragraph">
            <wp:posOffset>0</wp:posOffset>
          </wp:positionV>
          <wp:extent cx="886587" cy="247650"/>
          <wp:effectExtent l="0" t="0" r="8890" b="0"/>
          <wp:wrapNone/>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6587"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7D758" w14:textId="77777777" w:rsidR="00EE2214" w:rsidRDefault="00EE2214" w:rsidP="003D4A07">
    <w:pPr>
      <w:pStyle w:val="Cabealho"/>
      <w:jc w:val="right"/>
    </w:pPr>
    <w:r w:rsidRPr="00B10669">
      <w:rPr>
        <w:noProof/>
        <w:lang w:eastAsia="pt-BR"/>
      </w:rPr>
      <mc:AlternateContent>
        <mc:Choice Requires="wps">
          <w:drawing>
            <wp:anchor distT="0" distB="0" distL="114300" distR="114300" simplePos="0" relativeHeight="251658244" behindDoc="0" locked="0" layoutInCell="1" allowOverlap="1" wp14:anchorId="137CFF6C" wp14:editId="3D5F8B68">
              <wp:simplePos x="0" y="0"/>
              <wp:positionH relativeFrom="column">
                <wp:posOffset>-601345</wp:posOffset>
              </wp:positionH>
              <wp:positionV relativeFrom="paragraph">
                <wp:posOffset>410210</wp:posOffset>
              </wp:positionV>
              <wp:extent cx="7200900" cy="0"/>
              <wp:effectExtent l="0" t="0" r="0" b="0"/>
              <wp:wrapNone/>
              <wp:docPr id="58" name="Conector reto 58"/>
              <wp:cNvGraphicFramePr/>
              <a:graphic xmlns:a="http://schemas.openxmlformats.org/drawingml/2006/main">
                <a:graphicData uri="http://schemas.microsoft.com/office/word/2010/wordprocessingShape">
                  <wps:wsp>
                    <wps:cNvCnPr/>
                    <wps:spPr>
                      <a:xfrm>
                        <a:off x="0" y="0"/>
                        <a:ext cx="7200900"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9116981" id="Conector reto 58" o:spid="_x0000_s1026" style="position:absolute;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35pt,32.3pt" to="519.6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QwS8wEAAEkEAAAOAAAAZHJzL2Uyb0RvYy54bWysVMlu2zAQvRfoPxC815KDJm0Eyzk4SC9d&#10;jC4fwFBDiwDJIUjGsv++Q9JWkubUIDpQ4vDN8t4Mtbo5WMP2EKJG1/PlouUMnMRBu13P//y++/CZ&#10;s5iEG4RBBz0/QuQ36/fvVpPv4AJHNAMERkFc7Cbf8zEl3zVNlCNYERfowdGhwmBFom3YNUMQE0W3&#10;prlo26tmwjD4gBJiJOttPeTrEl8pkOmHUhESMz2n2lJZQ1nv89qsV6LbBeFHLU9liFdUYYV2lHQO&#10;dSuSYA9BvwhltQwYUaWFRNugUlpC4UBslu0/bH6NwkPhQuJEP8sU3y6s/L7fBqaHnl9Sp5yw1KMN&#10;dUomDCxAQkZ2EmnysSPsxm3DaRf9NmTGBxVsfhMXdijCHmdh4ZCYJOMnatV1S/rL81nz6OhDTF8A&#10;LcsfPTfaZc6iE/uvMVEygp4h2Wwcm2jSrtvLtsAiGj3caWPyYZkb2JjA9oI6LqQEl5YFZx7sNxyq&#10;/aqlp/aezDQh1fzxbKaUc6RSwJMkdGYcGbMiVYPylY4Gank/QZGgxLrmnQM9L6kSM47Q2U0Rgdnx&#10;RCzfgZdcquMJn12hjPn/OM8eJTO6NDtb7TBUWZ9nT4dl1ovIq4o/K1B5ZwnucTiW6SjS0LwW+Olu&#10;5QvxdF/cH/8A678AAAD//wMAUEsDBBQABgAIAAAAIQCPOTXT3gAAAAoBAAAPAAAAZHJzL2Rvd25y&#10;ZXYueG1sTI9BTsMwEEX3SNzBGiR2rUNThTaNUyFEF6wQKQdw42nsEo+j2G0Mp8cVC1jOzNOf96tt&#10;tD274OiNIwEP8wwYUuuUoU7Ax343WwHzQZKSvSMU8IUetvXtTSVL5SZ6x0sTOpZCyJdSgA5hKDn3&#10;rUYr/dwNSOl2dKOVIY1jx9UopxRue77IsoJbaSh90HLAZ43tZ3O2AnJ92r/kC3ncmfD9+tbouDJT&#10;FOL+Lj5tgAWM4Q+Gq35Shzo5HdyZlGe9gNl6+ZhQAcWyAHYFsnydAzv8bnhd8f8V6h8AAAD//wMA&#10;UEsBAi0AFAAGAAgAAAAhALaDOJL+AAAA4QEAABMAAAAAAAAAAAAAAAAAAAAAAFtDb250ZW50X1R5&#10;cGVzXS54bWxQSwECLQAUAAYACAAAACEAOP0h/9YAAACUAQAACwAAAAAAAAAAAAAAAAAvAQAAX3Jl&#10;bHMvLnJlbHNQSwECLQAUAAYACAAAACEAqb0MEvMBAABJBAAADgAAAAAAAAAAAAAAAAAuAgAAZHJz&#10;L2Uyb0RvYy54bWxQSwECLQAUAAYACAAAACEAjzk1094AAAAKAQAADwAAAAAAAAAAAAAAAABNBAAA&#10;ZHJzL2Rvd25yZXYueG1sUEsFBgAAAAAEAAQA8wAAAFgFAAAAAA==&#10;" strokecolor="#95b3d7 [1940]" strokeweight="1.5pt"/>
          </w:pict>
        </mc:Fallback>
      </mc:AlternateContent>
    </w:r>
    <w:r w:rsidRPr="00B10669">
      <w:rPr>
        <w:noProof/>
        <w:lang w:eastAsia="pt-BR"/>
      </w:rPr>
      <mc:AlternateContent>
        <mc:Choice Requires="wps">
          <w:drawing>
            <wp:anchor distT="0" distB="0" distL="114300" distR="114300" simplePos="0" relativeHeight="251658245" behindDoc="0" locked="0" layoutInCell="1" allowOverlap="1" wp14:anchorId="1573ED55" wp14:editId="1B6485B0">
              <wp:simplePos x="0" y="0"/>
              <wp:positionH relativeFrom="column">
                <wp:posOffset>-182245</wp:posOffset>
              </wp:positionH>
              <wp:positionV relativeFrom="paragraph">
                <wp:posOffset>444500</wp:posOffset>
              </wp:positionV>
              <wp:extent cx="6680200" cy="0"/>
              <wp:effectExtent l="0" t="0" r="0" b="0"/>
              <wp:wrapNone/>
              <wp:docPr id="59" name="Conector reto 59"/>
              <wp:cNvGraphicFramePr/>
              <a:graphic xmlns:a="http://schemas.openxmlformats.org/drawingml/2006/main">
                <a:graphicData uri="http://schemas.microsoft.com/office/word/2010/wordprocessingShape">
                  <wps:wsp>
                    <wps:cNvCnPr/>
                    <wps:spPr>
                      <a:xfrm>
                        <a:off x="0" y="0"/>
                        <a:ext cx="6680200" cy="0"/>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AA0486" id="Conector reto 59" o:spid="_x0000_s1026" style="position:absolute;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pt,35pt" to="51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3U05QEAADIEAAAOAAAAZHJzL2Uyb0RvYy54bWysU9tu2zAMfR+wfxD0vtgpkKA14vQhRfey&#10;S7DLB6gyFQuQREFS4+TvR8mOM3TDgBX1gyyRPCTPEbW5P1nDjhCiRtfy5aLmDJzETrtDy3/+ePxw&#10;y1lMwnXCoIOWnyHy++37d5vBN3CDPZoOAqMkLjaDb3mfkm+qKsoerIgL9ODIqTBYkegYDlUXxEDZ&#10;ralu6npdDRg6H1BCjGR9GJ18W/IrBTJ9VSpCYqbl1FsqayjrU16r7UY0hyB8r+XUhnhFF1ZoR0Xn&#10;VA8iCfYc9B+prJYBI6q0kGgrVEpLKByIzbJ+weZ7LzwULiRO9LNM8e3Syi/HfWC6a/nqjjMnLN3R&#10;jm5KJgwsQEJGdhJp8LGh2J3bh+kU/T5kxicVbP4TF3Yqwp5nYeGUmCTjen1b021xJi++6gr0IaaP&#10;gJblTcuNdpmzaMTxU0xUjEIvIdlsHBto0u7qVV3CIhrdPWpjsrPMDexMYEdBNy6kBJdWJc4828/Y&#10;jfZVTV+mRblnyHi6ZiOfcWTM1EeyZZfOBsY+voEi5Yjecmwkz+zL2supinEUnWGKOp2BE4N/Aaf4&#10;DIUyz/8DnhGlMro0g612GP7WdjpdWlZj/EWBkXeW4Am7cxmDIg0NZlFuekR58n8/F/j1qW9/AQAA&#10;//8DAFBLAwQUAAYACAAAACEACFxOpt4AAAAKAQAADwAAAGRycy9kb3ducmV2LnhtbEyPwUrDQBCG&#10;74LvsIzgrd11C7ak2RQRRPSg2IrgbZqdJsHsbMhumujTu8VDPc7Mxz/fn28m14oj9aHxbOBmrkAQ&#10;l942XBl43z3MViBCRLbYeiYD3xRgU1xe5JhZP/IbHbexEimEQ4YG6hi7TMpQ1uQwzH1HnG4H3zuM&#10;aewraXscU7hrpVbqVjpsOH2osaP7msqv7eAMfOAwetfb19Dpn8cXNT3p592nMddX090aRKQpnmE4&#10;6Sd1KJLT3g9sg2gNzPRqmVADS5U6nQClFwsQ+7+NLHL5v0LxCwAA//8DAFBLAQItABQABgAIAAAA&#10;IQC2gziS/gAAAOEBAAATAAAAAAAAAAAAAAAAAAAAAABbQ29udGVudF9UeXBlc10ueG1sUEsBAi0A&#10;FAAGAAgAAAAhADj9If/WAAAAlAEAAAsAAAAAAAAAAAAAAAAALwEAAF9yZWxzLy5yZWxzUEsBAi0A&#10;FAAGAAgAAAAhADPvdTTlAQAAMgQAAA4AAAAAAAAAAAAAAAAALgIAAGRycy9lMm9Eb2MueG1sUEsB&#10;Ai0AFAAGAAgAAAAhAAhcTqbeAAAACgEAAA8AAAAAAAAAAAAAAAAAPwQAAGRycy9kb3ducmV2Lnht&#10;bFBLBQYAAAAABAAEAPMAAABKBQAAAAA=&#10;" strokecolor="#205867 [1608]" strokeweight="1.5pt"/>
          </w:pict>
        </mc:Fallback>
      </mc:AlternateContent>
    </w:r>
    <w:r w:rsidRPr="00B10669">
      <w:rPr>
        <w:noProof/>
        <w:lang w:eastAsia="pt-BR"/>
      </w:rPr>
      <w:drawing>
        <wp:anchor distT="0" distB="0" distL="114300" distR="114300" simplePos="0" relativeHeight="251658246" behindDoc="0" locked="0" layoutInCell="1" allowOverlap="1" wp14:anchorId="7A696010" wp14:editId="37974FAE">
          <wp:simplePos x="0" y="0"/>
          <wp:positionH relativeFrom="column">
            <wp:posOffset>5058888</wp:posOffset>
          </wp:positionH>
          <wp:positionV relativeFrom="paragraph">
            <wp:posOffset>0</wp:posOffset>
          </wp:positionV>
          <wp:extent cx="886587" cy="247650"/>
          <wp:effectExtent l="0" t="0" r="8890" b="0"/>
          <wp:wrapNone/>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6587"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7388EFF" w14:textId="32431ACF" w:rsidR="00EE2214" w:rsidRDefault="00EE2214" w:rsidP="00264592">
    <w:pPr>
      <w:ind w:right="397"/>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77249" w14:textId="77777777" w:rsidR="00EE2214" w:rsidRDefault="00EE2214" w:rsidP="003D4A07">
    <w:pPr>
      <w:pStyle w:val="Cabealho"/>
      <w:jc w:val="right"/>
    </w:pPr>
    <w:r w:rsidRPr="00B10669">
      <w:rPr>
        <w:noProof/>
        <w:lang w:eastAsia="pt-BR"/>
      </w:rPr>
      <mc:AlternateContent>
        <mc:Choice Requires="wps">
          <w:drawing>
            <wp:anchor distT="0" distB="0" distL="114300" distR="114300" simplePos="0" relativeHeight="251658253" behindDoc="0" locked="0" layoutInCell="1" allowOverlap="1" wp14:anchorId="1288083B" wp14:editId="07B06B45">
              <wp:simplePos x="0" y="0"/>
              <wp:positionH relativeFrom="column">
                <wp:posOffset>-601345</wp:posOffset>
              </wp:positionH>
              <wp:positionV relativeFrom="paragraph">
                <wp:posOffset>410210</wp:posOffset>
              </wp:positionV>
              <wp:extent cx="7200900" cy="0"/>
              <wp:effectExtent l="0" t="0" r="0" b="0"/>
              <wp:wrapNone/>
              <wp:docPr id="455" name="Conector reto 455"/>
              <wp:cNvGraphicFramePr/>
              <a:graphic xmlns:a="http://schemas.openxmlformats.org/drawingml/2006/main">
                <a:graphicData uri="http://schemas.microsoft.com/office/word/2010/wordprocessingShape">
                  <wps:wsp>
                    <wps:cNvCnPr/>
                    <wps:spPr>
                      <a:xfrm>
                        <a:off x="0" y="0"/>
                        <a:ext cx="7200900"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2D5C81E" id="Conector reto 455" o:spid="_x0000_s1026" style="position:absolute;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35pt,32.3pt" to="519.6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oI79QEAAEsEAAAOAAAAZHJzL2Uyb0RvYy54bWysVMtu2zAQvBfoPxC8x5KDOG0Eyzk4SC99&#10;GE37AQy1tAmQXIJkLPvvuyRtJWlOLeIDLe3OPmZ2qeXtwRq2hxA1up7PZy1n4CQO2m17/vvX/cVn&#10;zmISbhAGHfT8CJHfrj5+WI6+g0vcoRkgMEriYjf6nu9S8l3TRLkDK+IMPThyKgxWJHoN22YIYqTs&#10;1jSXbXvdjBgGH1BCjGS9q06+KvmVApl+KBUhMdNz6i2VM5TzMZ/Naim6bRB+p+WpDfEfXVihHRWd&#10;Ut2JJNhT0G9SWS0DRlRpJtE2qJSWUDgQm3n7F5uHnfBQuJA40U8yxfdLK7/vN4HpoedXiwVnTlga&#10;0ppGJRMGFiAhyw6SafSxI/TabcLpLfpNyJwPKtj8T2zYoUh7nKSFQ2KSjJ9oWDctTUCefc1zoA8x&#10;fQG0LD/03GiXWYtO7L/GRMUIeoZks3FspF27aRdtgUU0erjXxmRn2RxYm8D2gmYupASX5gVnnuw3&#10;HKr9uqVfnT6ZaUeq+epsppJTptLAiyLkM46MWZGqQXlKRwO1vZ+gSFJiXetOiV63VIkZR+gcpojA&#10;FHgilm/BWy418ITPoVAW/V+Cp4hSGV2agq12GKqsr6unwzzrReRVxZ8VqLyzBI84HMt2FGloYwv8&#10;dLvylXj5XsKfvwGrPwAAAP//AwBQSwMEFAAGAAgAAAAhAI85NdPeAAAACgEAAA8AAABkcnMvZG93&#10;bnJldi54bWxMj0FOwzAQRfdI3MEaJHatQ1OFNo1TIUQXrBApB3DjaewSj6PYbQynxxULWM7M05/3&#10;q220Pbvg6I0jAQ/zDBhS65ShTsDHfjdbAfNBkpK9IxTwhR629e1NJUvlJnrHSxM6lkLIl1KADmEo&#10;OfetRiv93A1I6XZ0o5UhjWPH1SinFG57vsiygltpKH3QcsBnje1nc7YCcn3av+QLedyZ8P361ui4&#10;MlMU4v4uPm2ABYzhD4arflKHOjkd3JmUZ72A2Xr5mFABxbIAdgWyfJ0DO/xueF3x/xXqHwAAAP//&#10;AwBQSwECLQAUAAYACAAAACEAtoM4kv4AAADhAQAAEwAAAAAAAAAAAAAAAAAAAAAAW0NvbnRlbnRf&#10;VHlwZXNdLnhtbFBLAQItABQABgAIAAAAIQA4/SH/1gAAAJQBAAALAAAAAAAAAAAAAAAAAC8BAABf&#10;cmVscy8ucmVsc1BLAQItABQABgAIAAAAIQCJvoI79QEAAEsEAAAOAAAAAAAAAAAAAAAAAC4CAABk&#10;cnMvZTJvRG9jLnhtbFBLAQItABQABgAIAAAAIQCPOTXT3gAAAAoBAAAPAAAAAAAAAAAAAAAAAE8E&#10;AABkcnMvZG93bnJldi54bWxQSwUGAAAAAAQABADzAAAAWgUAAAAA&#10;" strokecolor="#95b3d7 [1940]" strokeweight="1.5pt"/>
          </w:pict>
        </mc:Fallback>
      </mc:AlternateContent>
    </w:r>
    <w:r w:rsidRPr="00B10669">
      <w:rPr>
        <w:noProof/>
        <w:lang w:eastAsia="pt-BR"/>
      </w:rPr>
      <mc:AlternateContent>
        <mc:Choice Requires="wps">
          <w:drawing>
            <wp:anchor distT="0" distB="0" distL="114300" distR="114300" simplePos="0" relativeHeight="251658254" behindDoc="0" locked="0" layoutInCell="1" allowOverlap="1" wp14:anchorId="160FF383" wp14:editId="7CFD99F7">
              <wp:simplePos x="0" y="0"/>
              <wp:positionH relativeFrom="column">
                <wp:posOffset>-182245</wp:posOffset>
              </wp:positionH>
              <wp:positionV relativeFrom="paragraph">
                <wp:posOffset>444500</wp:posOffset>
              </wp:positionV>
              <wp:extent cx="6680200" cy="0"/>
              <wp:effectExtent l="0" t="0" r="0" b="0"/>
              <wp:wrapNone/>
              <wp:docPr id="474" name="Conector reto 474"/>
              <wp:cNvGraphicFramePr/>
              <a:graphic xmlns:a="http://schemas.openxmlformats.org/drawingml/2006/main">
                <a:graphicData uri="http://schemas.microsoft.com/office/word/2010/wordprocessingShape">
                  <wps:wsp>
                    <wps:cNvCnPr/>
                    <wps:spPr>
                      <a:xfrm>
                        <a:off x="0" y="0"/>
                        <a:ext cx="6680200" cy="0"/>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2F74897" id="Conector reto 474" o:spid="_x0000_s1026"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pt,35pt" to="51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ic5wEAADQEAAAOAAAAZHJzL2Uyb0RvYy54bWysU9uO2yAQfa/Uf0C8N3ZWm3RrxdmHrLYv&#10;vUS9fACLhxgJGARsnPx9B+w41baq1Kp+wDAzZ2bOYdjcn6xhRwhRo2v5clFzBk5ip92h5d+/Pb65&#10;4ywm4Tph0EHLzxD5/fb1q83gG7jBHk0HgVESF5vBt7xPyTdVFWUPVsQFenDkVBisSHQMh6oLYqDs&#10;1lQ3db2uBgydDyghRrI+jE6+LfmVApk+KxUhMdNy6i2VNZT1Ka/VdiOaQxC+13JqQ/xDF1ZoR0Xn&#10;VA8iCfYc9C+prJYBI6q0kGgrVEpLKByIzbJ+weZrLzwULiRO9LNM8f+llZ+O+8B01/Lbt7ecOWHp&#10;knZ0VTJhYAESsuwgmQYfG4reuX2YTtHvQ+Z8UsHmP7FhpyLteZYWTolJMq7XdzXdF2fy4quuQB9i&#10;eg9oWd603GiXWYtGHD/ERMUo9BKSzcaxgWbtXb2qS1hEo7tHbUx2lsmBnQnsKOjOhZTg0qrEmWf7&#10;EbvRvqrpy7Qo9wwZT9ds5DOOjJn6SLbs0tnA2McXUKQd0VuOjeSpfVl7OVUxjqIzTFGnM3Bi8Cfg&#10;FJ+hUCb6b8AzolRGl2aw1Q7D79pOp0vLaoy/KDDyzhI8YXcuY1CkodEsyk3PKM/+z+cCvz727Q8A&#10;AAD//wMAUEsDBBQABgAIAAAAIQAIXE6m3gAAAAoBAAAPAAAAZHJzL2Rvd25yZXYueG1sTI/BSsNA&#10;EIbvgu+wjOCt3XULtqTZFBFE9KDYiuBtmp0mwexsyG6a6NO7xUM9zszHP9+fbybXiiP1ofFs4Gau&#10;QBCX3jZcGXjfPcxWIEJEtth6JgPfFGBTXF7kmFk/8hsdt7ESKYRDhgbqGLtMylDW5DDMfUecbgff&#10;O4xp7CtpexxTuGulVupWOmw4faixo/uayq/t4Ax84DB619vX0Omfxxc1Penn3acx11fT3RpEpCme&#10;YTjpJ3UoktPeD2yDaA3M9GqZUANLlTqdAKUXCxD7v40scvm/QvELAAD//wMAUEsBAi0AFAAGAAgA&#10;AAAhALaDOJL+AAAA4QEAABMAAAAAAAAAAAAAAAAAAAAAAFtDb250ZW50X1R5cGVzXS54bWxQSwEC&#10;LQAUAAYACAAAACEAOP0h/9YAAACUAQAACwAAAAAAAAAAAAAAAAAvAQAAX3JlbHMvLnJlbHNQSwEC&#10;LQAUAAYACAAAACEAA7/4nOcBAAA0BAAADgAAAAAAAAAAAAAAAAAuAgAAZHJzL2Uyb0RvYy54bWxQ&#10;SwECLQAUAAYACAAAACEACFxOpt4AAAAKAQAADwAAAAAAAAAAAAAAAABBBAAAZHJzL2Rvd25yZXYu&#10;eG1sUEsFBgAAAAAEAAQA8wAAAEwFAAAAAA==&#10;" strokecolor="#205867 [1608]" strokeweight="1.5pt"/>
          </w:pict>
        </mc:Fallback>
      </mc:AlternateContent>
    </w:r>
    <w:r w:rsidRPr="00B10669">
      <w:rPr>
        <w:noProof/>
        <w:lang w:eastAsia="pt-BR"/>
      </w:rPr>
      <w:drawing>
        <wp:anchor distT="0" distB="0" distL="114300" distR="114300" simplePos="0" relativeHeight="251658255" behindDoc="0" locked="0" layoutInCell="1" allowOverlap="1" wp14:anchorId="28088D78" wp14:editId="6B280E6E">
          <wp:simplePos x="0" y="0"/>
          <wp:positionH relativeFrom="column">
            <wp:posOffset>5058888</wp:posOffset>
          </wp:positionH>
          <wp:positionV relativeFrom="paragraph">
            <wp:posOffset>0</wp:posOffset>
          </wp:positionV>
          <wp:extent cx="886587" cy="247650"/>
          <wp:effectExtent l="0" t="0" r="8890" b="0"/>
          <wp:wrapNone/>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6587"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6B7CDAD" w14:textId="77777777" w:rsidR="00EE2214" w:rsidRDefault="00EE2214" w:rsidP="008116AC">
    <w:pPr>
      <w:ind w:right="397"/>
      <w:jc w:val="right"/>
      <w:rPr>
        <w:b/>
        <w:color w:val="808080"/>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803F0" w14:textId="77777777" w:rsidR="00EE2214" w:rsidRDefault="00EE2214" w:rsidP="003D4A07">
    <w:pPr>
      <w:pStyle w:val="Cabealho"/>
      <w:jc w:val="right"/>
    </w:pPr>
    <w:r w:rsidRPr="00B10669">
      <w:rPr>
        <w:noProof/>
        <w:lang w:eastAsia="pt-BR"/>
      </w:rPr>
      <mc:AlternateContent>
        <mc:Choice Requires="wps">
          <w:drawing>
            <wp:anchor distT="0" distB="0" distL="114300" distR="114300" simplePos="0" relativeHeight="251658250" behindDoc="0" locked="0" layoutInCell="1" allowOverlap="1" wp14:anchorId="31AC0925" wp14:editId="2FE7AD21">
              <wp:simplePos x="0" y="0"/>
              <wp:positionH relativeFrom="column">
                <wp:posOffset>-601345</wp:posOffset>
              </wp:positionH>
              <wp:positionV relativeFrom="paragraph">
                <wp:posOffset>410210</wp:posOffset>
              </wp:positionV>
              <wp:extent cx="7200900" cy="0"/>
              <wp:effectExtent l="0" t="0" r="0" b="0"/>
              <wp:wrapNone/>
              <wp:docPr id="448" name="Conector reto 448"/>
              <wp:cNvGraphicFramePr/>
              <a:graphic xmlns:a="http://schemas.openxmlformats.org/drawingml/2006/main">
                <a:graphicData uri="http://schemas.microsoft.com/office/word/2010/wordprocessingShape">
                  <wps:wsp>
                    <wps:cNvCnPr/>
                    <wps:spPr>
                      <a:xfrm>
                        <a:off x="0" y="0"/>
                        <a:ext cx="7200900"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4BE0B39" id="Conector reto 448" o:spid="_x0000_s1026" style="position:absolute;z-index:25165825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35pt,32.3pt" to="519.6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qm9AEAAEsEAAAOAAAAZHJzL2Uyb0RvYy54bWysVMlu2zAQvRfoPxC815IDN20Eyzk4SC9d&#10;jC4fwFBDiwDJIUjGsv++Q9JWkubUoj7Q0syb5b0Zan17tIYdIESNrufLRcsZOImDdvue//p5/+4j&#10;ZzEJNwiDDnp+gshvN2/frCffwRWOaAYIjJK42E2+52NKvmuaKEewIi7QgyOnwmBFotewb4YgJspu&#10;TXPVttfNhGHwASXESNa76uSbkl8pkOmbUhESMz2n3lI5Qzkf8tls1qLbB+FHLc9tiH/owgrtqOic&#10;6k4kwR6DfpXKahkwokoLibZBpbSEwoHYLNs/2PwYhYfChcSJfpYp/r+08uthF5geer5a0aicsDSk&#10;LY1KJgwsQEKWHSTT5GNH6K3bhfNb9LuQOR9VsPmf2LBjkfY0SwvHxCQZP9CwblqagLz4mqdAH2L6&#10;BGhZfui50S6zFp04fI6JihH0Aslm49hEu3bTvm8LLKLRw702JjvL5sDWBHYQNHMhJbi0LDjzaL/g&#10;UO3XLf3q9MlMO1LNq4uZSs6ZSgPPipDPODJmRaoG5SmdDNT2voMiSYl1rTsnetlSJWYcoXOYIgJz&#10;4JlYvgWvudTAMz6HQln0vwmeI0pldGkOttphqLK+rJ6Oy6wXkVcVf1Gg8s4SPOBwKttRpKGNLfDz&#10;7cpX4vl7CX/6Bmx+AwAA//8DAFBLAwQUAAYACAAAACEAjzk1094AAAAKAQAADwAAAGRycy9kb3du&#10;cmV2LnhtbEyPQU7DMBBF90jcwRokdq1DU4U2jVMhRBesECkHcONp7BKPo9htDKfHFQtYzszTn/er&#10;bbQ9u+DojSMBD/MMGFLrlKFOwMd+N1sB80GSkr0jFPCFHrb17U0lS+UmesdLEzqWQsiXUoAOYSg5&#10;961GK/3cDUjpdnSjlSGNY8fVKKcUbnu+yLKCW2kofdBywGeN7WdztgJyfdq/5At53Jnw/frW6Lgy&#10;UxTi/i4+bYAFjOEPhqt+Uoc6OR3cmZRnvYDZevmYUAHFsgB2BbJ8nQM7/G54XfH/FeofAAAA//8D&#10;AFBLAQItABQABgAIAAAAIQC2gziS/gAAAOEBAAATAAAAAAAAAAAAAAAAAAAAAABbQ29udGVudF9U&#10;eXBlc10ueG1sUEsBAi0AFAAGAAgAAAAhADj9If/WAAAAlAEAAAsAAAAAAAAAAAAAAAAALwEAAF9y&#10;ZWxzLy5yZWxzUEsBAi0AFAAGAAgAAAAhAL+Mqqb0AQAASwQAAA4AAAAAAAAAAAAAAAAALgIAAGRy&#10;cy9lMm9Eb2MueG1sUEsBAi0AFAAGAAgAAAAhAI85NdPeAAAACgEAAA8AAAAAAAAAAAAAAAAATgQA&#10;AGRycy9kb3ducmV2LnhtbFBLBQYAAAAABAAEAPMAAABZBQAAAAA=&#10;" strokecolor="#95b3d7 [1940]" strokeweight="1.5pt"/>
          </w:pict>
        </mc:Fallback>
      </mc:AlternateContent>
    </w:r>
    <w:r w:rsidRPr="00B10669">
      <w:rPr>
        <w:noProof/>
        <w:lang w:eastAsia="pt-BR"/>
      </w:rPr>
      <mc:AlternateContent>
        <mc:Choice Requires="wps">
          <w:drawing>
            <wp:anchor distT="0" distB="0" distL="114300" distR="114300" simplePos="0" relativeHeight="251658251" behindDoc="0" locked="0" layoutInCell="1" allowOverlap="1" wp14:anchorId="65E998E9" wp14:editId="4D9C1F40">
              <wp:simplePos x="0" y="0"/>
              <wp:positionH relativeFrom="column">
                <wp:posOffset>-182245</wp:posOffset>
              </wp:positionH>
              <wp:positionV relativeFrom="paragraph">
                <wp:posOffset>444500</wp:posOffset>
              </wp:positionV>
              <wp:extent cx="6680200" cy="0"/>
              <wp:effectExtent l="0" t="0" r="0" b="0"/>
              <wp:wrapNone/>
              <wp:docPr id="449" name="Conector reto 449"/>
              <wp:cNvGraphicFramePr/>
              <a:graphic xmlns:a="http://schemas.openxmlformats.org/drawingml/2006/main">
                <a:graphicData uri="http://schemas.microsoft.com/office/word/2010/wordprocessingShape">
                  <wps:wsp>
                    <wps:cNvCnPr/>
                    <wps:spPr>
                      <a:xfrm>
                        <a:off x="0" y="0"/>
                        <a:ext cx="6680200" cy="0"/>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EC0BC2" id="Conector reto 449" o:spid="_x0000_s1026"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pt,35pt" to="51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N675wEAADQEAAAOAAAAZHJzL2Uyb0RvYy54bWysU9tu2zAMfR+wfxD0vtgpmqA14vQhRfey&#10;S7DLB6gylQiQREFSY+fvR8mOM3TDgA3zgyyRPCTPEbV5GKxhJwhRo2v5clFzBk5ip92h5d+/Pb27&#10;4ywm4Tph0EHLzxD5w/btm03vG7jBI5oOAqMkLja9b/kxJd9UVZRHsCIu0IMjp8JgRaJjOFRdED1l&#10;t6a6qet11WPofEAJMZL1cXTybcmvFMj0WakIiZmWU2+prKGsz3mtthvRHILwRy2nNsQ/dGGFdlR0&#10;TvUokmAvQf+SymoZMKJKC4m2QqW0hMKB2CzrV2y+HoWHwoXEiX6WKf6/tPLTaR+Y7lp+e3vPmROW&#10;LmlHVyUTBhYgIcsOkqn3saHonduH6RT9PmTOgwo2/4kNG4q051laGBKTZFyv72q6L87kxVddgT7E&#10;9B7QsrxpudEusxaNOH2IiYpR6CUkm41jPc3afb2qS1hEo7snbUx2lsmBnQnsJOjOhZTg0qrEmRf7&#10;EbvRvqrpy7Qo9wwZT9ds5DOOjJn6SLbs0tnA2McXUKQd0VuOjeSpfV17OVUxjqIzTFGnM3Bi8Cfg&#10;FJ+hUCb6b8AzolRGl2aw1Q7D79pOw6VlNcZfFBh5ZwmesTuXMSjS0GgW5aZnlGf/53OBXx/79gcA&#10;AAD//wMAUEsDBBQABgAIAAAAIQAIXE6m3gAAAAoBAAAPAAAAZHJzL2Rvd25yZXYueG1sTI/BSsNA&#10;EIbvgu+wjOCt3XULtqTZFBFE9KDYiuBtmp0mwexsyG6a6NO7xUM9zszHP9+fbybXiiP1ofFs4Gau&#10;QBCX3jZcGXjfPcxWIEJEtth6JgPfFGBTXF7kmFk/8hsdt7ESKYRDhgbqGLtMylDW5DDMfUecbgff&#10;O4xp7CtpexxTuGulVupWOmw4faixo/uayq/t4Ax84DB619vX0Omfxxc1Penn3acx11fT3RpEpCme&#10;YTjpJ3UoktPeD2yDaA3M9GqZUANLlTqdAKUXCxD7v40scvm/QvELAAD//wMAUEsBAi0AFAAGAAgA&#10;AAAhALaDOJL+AAAA4QEAABMAAAAAAAAAAAAAAAAAAAAAAFtDb250ZW50X1R5cGVzXS54bWxQSwEC&#10;LQAUAAYACAAAACEAOP0h/9YAAACUAQAACwAAAAAAAAAAAAAAAAAvAQAAX3JlbHMvLnJlbHNQSwEC&#10;LQAUAAYACAAAACEANVDeu+cBAAA0BAAADgAAAAAAAAAAAAAAAAAuAgAAZHJzL2Uyb0RvYy54bWxQ&#10;SwECLQAUAAYACAAAACEACFxOpt4AAAAKAQAADwAAAAAAAAAAAAAAAABBBAAAZHJzL2Rvd25yZXYu&#10;eG1sUEsFBgAAAAAEAAQA8wAAAEwFAAAAAA==&#10;" strokecolor="#205867 [1608]" strokeweight="1.5pt"/>
          </w:pict>
        </mc:Fallback>
      </mc:AlternateContent>
    </w:r>
    <w:r w:rsidRPr="00B10669">
      <w:rPr>
        <w:noProof/>
        <w:lang w:eastAsia="pt-BR"/>
      </w:rPr>
      <w:drawing>
        <wp:anchor distT="0" distB="0" distL="114300" distR="114300" simplePos="0" relativeHeight="251658252" behindDoc="0" locked="0" layoutInCell="1" allowOverlap="1" wp14:anchorId="7967B6B5" wp14:editId="1AD94381">
          <wp:simplePos x="0" y="0"/>
          <wp:positionH relativeFrom="column">
            <wp:posOffset>5058888</wp:posOffset>
          </wp:positionH>
          <wp:positionV relativeFrom="paragraph">
            <wp:posOffset>0</wp:posOffset>
          </wp:positionV>
          <wp:extent cx="886587" cy="247650"/>
          <wp:effectExtent l="0" t="0" r="8890" b="0"/>
          <wp:wrapNone/>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6587"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3DC54F" w14:textId="77777777" w:rsidR="00EE2214" w:rsidRDefault="00EE2214" w:rsidP="00C279DD">
    <w:pPr>
      <w:ind w:right="397"/>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A4D56D" w14:textId="77777777" w:rsidR="00EE2214" w:rsidRDefault="00EE2214" w:rsidP="003D4A07">
    <w:pPr>
      <w:pStyle w:val="Cabealho"/>
      <w:jc w:val="right"/>
    </w:pPr>
    <w:r w:rsidRPr="00B10669">
      <w:rPr>
        <w:noProof/>
        <w:lang w:eastAsia="pt-BR"/>
      </w:rPr>
      <mc:AlternateContent>
        <mc:Choice Requires="wps">
          <w:drawing>
            <wp:anchor distT="0" distB="0" distL="114300" distR="114300" simplePos="0" relativeHeight="251658256" behindDoc="0" locked="0" layoutInCell="1" allowOverlap="1" wp14:anchorId="7B9C765C" wp14:editId="3C75975E">
              <wp:simplePos x="0" y="0"/>
              <wp:positionH relativeFrom="column">
                <wp:posOffset>-601345</wp:posOffset>
              </wp:positionH>
              <wp:positionV relativeFrom="paragraph">
                <wp:posOffset>410210</wp:posOffset>
              </wp:positionV>
              <wp:extent cx="7200900" cy="0"/>
              <wp:effectExtent l="0" t="0" r="0" b="0"/>
              <wp:wrapNone/>
              <wp:docPr id="479" name="Conector reto 479"/>
              <wp:cNvGraphicFramePr/>
              <a:graphic xmlns:a="http://schemas.openxmlformats.org/drawingml/2006/main">
                <a:graphicData uri="http://schemas.microsoft.com/office/word/2010/wordprocessingShape">
                  <wps:wsp>
                    <wps:cNvCnPr/>
                    <wps:spPr>
                      <a:xfrm>
                        <a:off x="0" y="0"/>
                        <a:ext cx="7200900" cy="0"/>
                      </a:xfrm>
                      <a:prstGeom prst="line">
                        <a:avLst/>
                      </a:prstGeom>
                      <a:ln w="19050">
                        <a:solidFill>
                          <a:schemeClr val="accent1">
                            <a:lumMod val="60000"/>
                            <a:lumOff val="4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3DF5955E" id="Conector reto 479" o:spid="_x0000_s1026" style="position:absolute;z-index:25165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7.35pt,32.3pt" to="519.65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dhM9QEAAEsEAAAOAAAAZHJzL2Uyb0RvYy54bWysVMtu2zAQvBfoPxC8x5KDNKkFyzk4SC99&#10;GE37AQy1tAmQXIJkLPvvuyRtJWlOLeIDLe3OPmZ2qeXtwRq2hxA1up7PZy1n4CQO2m17/vvX/cVn&#10;zmISbhAGHfT8CJHfrj5+WI6+g0vcoRkgMEriYjf6nu9S8l3TRLkDK+IMPThyKgxWJHoN22YIYqTs&#10;1jSXbXvdjBgGH1BCjGS9q06+KvmVApl+KBUhMdNz6i2VM5TzMZ/Naim6bRB+p+WpDfEfXVihHRWd&#10;Ut2JJNhT0G9SWS0DRlRpJtE2qJSWUDgQm3n7F5uHnfBQuJA40U8yxfdLK7/vN4HpoedXNwvOnLA0&#10;pDWNSiYMLEBClh0k0+hjR+i124TTW/SbkDkfVLD5n9iwQ5H2OEkLh8QkGW9oWIuWJiDPvuY50IeY&#10;vgBalh96brTLrEUn9l9jomIEPUOy2Tg20q4t2k9tgUU0erjXxmRn2RxYm8D2gmYupASX5gVnnuw3&#10;HKr9uqVfnT6ZaUeq+epsppJTptLAiyLkM46MWZGqQXlKRwO1vZ+gSFJiXetOiV63VIkZR+gcpojA&#10;FHgilm/BWy418ITPoVAW/V+Cp4hSGV2agq12GKqsr6unwzzrReRVxZ8VqLyzBI84HMt2FGloYwv8&#10;dLvylXj5XsKfvwGrPwAAAP//AwBQSwMEFAAGAAgAAAAhAI85NdPeAAAACgEAAA8AAABkcnMvZG93&#10;bnJldi54bWxMj0FOwzAQRfdI3MEaJHatQ1OFNo1TIUQXrBApB3DjaewSj6PYbQynxxULWM7M05/3&#10;q220Pbvg6I0jAQ/zDBhS65ShTsDHfjdbAfNBkpK9IxTwhR629e1NJUvlJnrHSxM6lkLIl1KADmEo&#10;OfetRiv93A1I6XZ0o5UhjWPH1SinFG57vsiygltpKH3QcsBnje1nc7YCcn3av+QLedyZ8P361ui4&#10;MlMU4v4uPm2ABYzhD4arflKHOjkd3JmUZ72A2Xr5mFABxbIAdgWyfJ0DO/xueF3x/xXqHwAAAP//&#10;AwBQSwECLQAUAAYACAAAACEAtoM4kv4AAADhAQAAEwAAAAAAAAAAAAAAAAAAAAAAW0NvbnRlbnRf&#10;VHlwZXNdLnhtbFBLAQItABQABgAIAAAAIQA4/SH/1gAAAJQBAAALAAAAAAAAAAAAAAAAAC8BAABf&#10;cmVscy8ucmVsc1BLAQItABQABgAIAAAAIQCRqdhM9QEAAEsEAAAOAAAAAAAAAAAAAAAAAC4CAABk&#10;cnMvZTJvRG9jLnhtbFBLAQItABQABgAIAAAAIQCPOTXT3gAAAAoBAAAPAAAAAAAAAAAAAAAAAE8E&#10;AABkcnMvZG93bnJldi54bWxQSwUGAAAAAAQABADzAAAAWgUAAAAA&#10;" strokecolor="#95b3d7 [1940]" strokeweight="1.5pt"/>
          </w:pict>
        </mc:Fallback>
      </mc:AlternateContent>
    </w:r>
    <w:r w:rsidRPr="00B10669">
      <w:rPr>
        <w:noProof/>
        <w:lang w:eastAsia="pt-BR"/>
      </w:rPr>
      <mc:AlternateContent>
        <mc:Choice Requires="wps">
          <w:drawing>
            <wp:anchor distT="0" distB="0" distL="114300" distR="114300" simplePos="0" relativeHeight="251658257" behindDoc="0" locked="0" layoutInCell="1" allowOverlap="1" wp14:anchorId="063CB304" wp14:editId="61AC46F7">
              <wp:simplePos x="0" y="0"/>
              <wp:positionH relativeFrom="column">
                <wp:posOffset>-182245</wp:posOffset>
              </wp:positionH>
              <wp:positionV relativeFrom="paragraph">
                <wp:posOffset>444500</wp:posOffset>
              </wp:positionV>
              <wp:extent cx="6680200" cy="0"/>
              <wp:effectExtent l="0" t="0" r="0" b="0"/>
              <wp:wrapNone/>
              <wp:docPr id="480" name="Conector reto 480"/>
              <wp:cNvGraphicFramePr/>
              <a:graphic xmlns:a="http://schemas.openxmlformats.org/drawingml/2006/main">
                <a:graphicData uri="http://schemas.microsoft.com/office/word/2010/wordprocessingShape">
                  <wps:wsp>
                    <wps:cNvCnPr/>
                    <wps:spPr>
                      <a:xfrm>
                        <a:off x="0" y="0"/>
                        <a:ext cx="6680200" cy="0"/>
                      </a:xfrm>
                      <a:prstGeom prst="line">
                        <a:avLst/>
                      </a:prstGeom>
                      <a:ln w="19050">
                        <a:solidFill>
                          <a:schemeClr val="accent5">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6CBE97F" id="Conector reto 480" o:spid="_x0000_s1026" style="position:absolute;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35pt,35pt" to="511.65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h+5gEAADQEAAAOAAAAZHJzL2Uyb0RvYy54bWysU9uO2yAQfa/Uf0C8N3ZWTZRacfYhq+1L&#10;L1EvH8DiIUECBgEbO3/fATtOta0qtaofMMzMmZlzGLb3gzXsDCFqdC1fLmrOwEnstDu2/Pu3xzcb&#10;zmISrhMGHbT8ApHf716/2va+gTs8oekgMEriYtP7lp9S8k1VRXkCK+ICPThyKgxWJDqGY9UF0VN2&#10;a6q7ul5XPYbOB5QQI1kfRifflfxKgUyflYqQmGk59ZbKGsr6lNdqtxXNMQh/0nJqQ/xDF1ZoR0Xn&#10;VA8iCfYc9C+prJYBI6q0kGgrVEpLKByIzbJ+webrSXgoXEic6GeZ4v9LKz+dD4HpruVvN6SPE5Yu&#10;aU9XJRMGFiAhyw6Sqfexoei9O4TpFP0hZM6DCjb/iQ0birSXWVoYEpNkXK83Nd0XZ/Lqq25AH2J6&#10;D2hZ3rTcaJdZi0acP8RExSj0GpLNxrGeZu1dvapLWESju0dtTHaWyYG9Cews6M6FlODSqsSZZ/sR&#10;u9G+qunLtCj3DBlPt2zkM46MmfpItuzSxcDYxxdQpB3RW46N5Kl9WXs5VTGOojNMUaczcGLwJ+AU&#10;n6FQJvpvwDOiVEaXZrDVDsPv2k7DtWU1xl8VGHlnCZ6wu5QxKNLQaBblpmeUZ//nc4HfHvvuBwAA&#10;AP//AwBQSwMEFAAGAAgAAAAhAAhcTqbeAAAACgEAAA8AAABkcnMvZG93bnJldi54bWxMj8FKw0AQ&#10;hu+C77CM4K3ddQu2pNkUEUT0oNiK4G2anSbB7GzIbpro07vFQz3OzMc/359vJteKI/Wh8WzgZq5A&#10;EJfeNlwZeN89zFYgQkS22HomA98UYFNcXuSYWT/yGx23sRIphEOGBuoYu0zKUNbkMMx9R5xuB987&#10;jGnsK2l7HFO4a6VW6lY6bDh9qLGj+5rKr+3gDHzgMHrX29fQ6Z/HFzU96efdpzHXV9PdGkSkKZ5h&#10;OOkndSiS094PbINoDcz0aplQA0uVOp0ApRcLEPu/jSxy+b9C8QsAAP//AwBQSwECLQAUAAYACAAA&#10;ACEAtoM4kv4AAADhAQAAEwAAAAAAAAAAAAAAAAAAAAAAW0NvbnRlbnRfVHlwZXNdLnhtbFBLAQIt&#10;ABQABgAIAAAAIQA4/SH/1gAAAJQBAAALAAAAAAAAAAAAAAAAAC8BAABfcmVscy8ucmVsc1BLAQIt&#10;ABQABgAIAAAAIQCP2Zh+5gEAADQEAAAOAAAAAAAAAAAAAAAAAC4CAABkcnMvZTJvRG9jLnhtbFBL&#10;AQItABQABgAIAAAAIQAIXE6m3gAAAAoBAAAPAAAAAAAAAAAAAAAAAEAEAABkcnMvZG93bnJldi54&#10;bWxQSwUGAAAAAAQABADzAAAASwUAAAAA&#10;" strokecolor="#205867 [1608]" strokeweight="1.5pt"/>
          </w:pict>
        </mc:Fallback>
      </mc:AlternateContent>
    </w:r>
    <w:r w:rsidRPr="00B10669">
      <w:rPr>
        <w:noProof/>
        <w:lang w:eastAsia="pt-BR"/>
      </w:rPr>
      <w:drawing>
        <wp:anchor distT="0" distB="0" distL="114300" distR="114300" simplePos="0" relativeHeight="251658258" behindDoc="0" locked="0" layoutInCell="1" allowOverlap="1" wp14:anchorId="292B5982" wp14:editId="7F1599A7">
          <wp:simplePos x="0" y="0"/>
          <wp:positionH relativeFrom="column">
            <wp:posOffset>5058888</wp:posOffset>
          </wp:positionH>
          <wp:positionV relativeFrom="paragraph">
            <wp:posOffset>0</wp:posOffset>
          </wp:positionV>
          <wp:extent cx="886587" cy="247650"/>
          <wp:effectExtent l="0" t="0" r="8890" b="0"/>
          <wp:wrapNone/>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86587" cy="247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4E0065" w14:textId="77777777" w:rsidR="00EE2214" w:rsidRDefault="00EE2214" w:rsidP="008116AC">
    <w:pPr>
      <w:ind w:right="397"/>
      <w:jc w:val="right"/>
      <w:rPr>
        <w:b/>
        <w:color w:val="808080"/>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AC643F"/>
    <w:multiLevelType w:val="hybridMultilevel"/>
    <w:tmpl w:val="00B8CCA2"/>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15:restartNumberingAfterBreak="0">
    <w:nsid w:val="0A494A6A"/>
    <w:multiLevelType w:val="multilevel"/>
    <w:tmpl w:val="933609C2"/>
    <w:lvl w:ilvl="0">
      <w:start w:val="1"/>
      <w:numFmt w:val="decimal"/>
      <w:pStyle w:val="Ttulo1"/>
      <w:lvlText w:val="%1"/>
      <w:lvlJc w:val="left"/>
      <w:pPr>
        <w:ind w:left="5819" w:hanging="432"/>
      </w:pPr>
      <w:rPr>
        <w:rFonts w:hint="default"/>
        <w:color w:val="002060"/>
        <w:sz w:val="26"/>
        <w:szCs w:val="26"/>
      </w:rPr>
    </w:lvl>
    <w:lvl w:ilvl="1">
      <w:start w:val="1"/>
      <w:numFmt w:val="decimal"/>
      <w:pStyle w:val="Ttulo2"/>
      <w:lvlText w:val="%1.%2"/>
      <w:lvlJc w:val="left"/>
      <w:pPr>
        <w:ind w:left="6475" w:hanging="1229"/>
      </w:pPr>
    </w:lvl>
    <w:lvl w:ilvl="2">
      <w:start w:val="1"/>
      <w:numFmt w:val="decimal"/>
      <w:pStyle w:val="Ttulo3"/>
      <w:lvlText w:val="%1.%2.%3"/>
      <w:lvlJc w:val="left"/>
      <w:pPr>
        <w:ind w:left="5682" w:hanging="720"/>
      </w:pPr>
      <w:rPr>
        <w:b/>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2" w15:restartNumberingAfterBreak="0">
    <w:nsid w:val="0D0F29B3"/>
    <w:multiLevelType w:val="hybridMultilevel"/>
    <w:tmpl w:val="DF382A8A"/>
    <w:lvl w:ilvl="0" w:tplc="98C0867C">
      <w:start w:val="1"/>
      <w:numFmt w:val="low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E4359FB"/>
    <w:multiLevelType w:val="hybridMultilevel"/>
    <w:tmpl w:val="5184864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133B7181"/>
    <w:multiLevelType w:val="hybridMultilevel"/>
    <w:tmpl w:val="476A1B06"/>
    <w:lvl w:ilvl="0" w:tplc="5AD88B1C">
      <w:start w:val="1"/>
      <w:numFmt w:val="bullet"/>
      <w:lvlText w:val=""/>
      <w:lvlJc w:val="left"/>
      <w:pPr>
        <w:ind w:left="720" w:hanging="360"/>
      </w:pPr>
      <w:rPr>
        <w:rFonts w:ascii="Symbol" w:hAnsi="Symbol"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68B1337"/>
    <w:multiLevelType w:val="hybridMultilevel"/>
    <w:tmpl w:val="8A8EEA66"/>
    <w:lvl w:ilvl="0" w:tplc="0416001B">
      <w:start w:val="1"/>
      <w:numFmt w:val="low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8B6213B"/>
    <w:multiLevelType w:val="hybridMultilevel"/>
    <w:tmpl w:val="0416001D"/>
    <w:styleLink w:val="1ai"/>
    <w:lvl w:ilvl="0" w:tplc="AAC86F0E">
      <w:start w:val="1"/>
      <w:numFmt w:val="decimal"/>
      <w:lvlText w:val="%1)"/>
      <w:lvlJc w:val="left"/>
      <w:pPr>
        <w:tabs>
          <w:tab w:val="num" w:pos="360"/>
        </w:tabs>
        <w:ind w:left="360" w:hanging="360"/>
      </w:pPr>
      <w:rPr>
        <w:rFonts w:cs="Times New Roman"/>
      </w:rPr>
    </w:lvl>
    <w:lvl w:ilvl="1" w:tplc="F8602C62">
      <w:start w:val="1"/>
      <w:numFmt w:val="lowerLetter"/>
      <w:lvlText w:val="%2)"/>
      <w:lvlJc w:val="left"/>
      <w:pPr>
        <w:tabs>
          <w:tab w:val="num" w:pos="720"/>
        </w:tabs>
        <w:ind w:left="720" w:hanging="360"/>
      </w:pPr>
      <w:rPr>
        <w:rFonts w:cs="Times New Roman"/>
      </w:rPr>
    </w:lvl>
    <w:lvl w:ilvl="2" w:tplc="3A6A713E">
      <w:start w:val="1"/>
      <w:numFmt w:val="lowerRoman"/>
      <w:lvlText w:val="%3)"/>
      <w:lvlJc w:val="left"/>
      <w:pPr>
        <w:tabs>
          <w:tab w:val="num" w:pos="1080"/>
        </w:tabs>
        <w:ind w:left="1080" w:hanging="360"/>
      </w:pPr>
      <w:rPr>
        <w:rFonts w:cs="Times New Roman"/>
      </w:rPr>
    </w:lvl>
    <w:lvl w:ilvl="3" w:tplc="F4F612BA">
      <w:start w:val="1"/>
      <w:numFmt w:val="decimal"/>
      <w:lvlText w:val="(%4)"/>
      <w:lvlJc w:val="left"/>
      <w:pPr>
        <w:tabs>
          <w:tab w:val="num" w:pos="1440"/>
        </w:tabs>
        <w:ind w:left="1440" w:hanging="360"/>
      </w:pPr>
      <w:rPr>
        <w:rFonts w:cs="Times New Roman"/>
      </w:rPr>
    </w:lvl>
    <w:lvl w:ilvl="4" w:tplc="CB622388">
      <w:start w:val="1"/>
      <w:numFmt w:val="lowerLetter"/>
      <w:lvlText w:val="(%5)"/>
      <w:lvlJc w:val="left"/>
      <w:pPr>
        <w:tabs>
          <w:tab w:val="num" w:pos="1800"/>
        </w:tabs>
        <w:ind w:left="1800" w:hanging="360"/>
      </w:pPr>
      <w:rPr>
        <w:rFonts w:cs="Times New Roman"/>
      </w:rPr>
    </w:lvl>
    <w:lvl w:ilvl="5" w:tplc="66BE275A">
      <w:start w:val="1"/>
      <w:numFmt w:val="lowerRoman"/>
      <w:lvlText w:val="(%6)"/>
      <w:lvlJc w:val="left"/>
      <w:pPr>
        <w:tabs>
          <w:tab w:val="num" w:pos="2160"/>
        </w:tabs>
        <w:ind w:left="2160" w:hanging="360"/>
      </w:pPr>
      <w:rPr>
        <w:rFonts w:cs="Times New Roman"/>
      </w:rPr>
    </w:lvl>
    <w:lvl w:ilvl="6" w:tplc="FF38A720">
      <w:start w:val="1"/>
      <w:numFmt w:val="decimal"/>
      <w:lvlText w:val="%7."/>
      <w:lvlJc w:val="left"/>
      <w:pPr>
        <w:tabs>
          <w:tab w:val="num" w:pos="2520"/>
        </w:tabs>
        <w:ind w:left="2520" w:hanging="360"/>
      </w:pPr>
      <w:rPr>
        <w:rFonts w:cs="Times New Roman"/>
      </w:rPr>
    </w:lvl>
    <w:lvl w:ilvl="7" w:tplc="1A3E04BE">
      <w:start w:val="1"/>
      <w:numFmt w:val="lowerLetter"/>
      <w:lvlText w:val="%8."/>
      <w:lvlJc w:val="left"/>
      <w:pPr>
        <w:tabs>
          <w:tab w:val="num" w:pos="2880"/>
        </w:tabs>
        <w:ind w:left="2880" w:hanging="360"/>
      </w:pPr>
      <w:rPr>
        <w:rFonts w:cs="Times New Roman"/>
      </w:rPr>
    </w:lvl>
    <w:lvl w:ilvl="8" w:tplc="590C9FB2">
      <w:start w:val="1"/>
      <w:numFmt w:val="lowerRoman"/>
      <w:lvlText w:val="%9."/>
      <w:lvlJc w:val="left"/>
      <w:pPr>
        <w:tabs>
          <w:tab w:val="num" w:pos="3240"/>
        </w:tabs>
        <w:ind w:left="3240" w:hanging="360"/>
      </w:pPr>
      <w:rPr>
        <w:rFonts w:cs="Times New Roman"/>
      </w:rPr>
    </w:lvl>
  </w:abstractNum>
  <w:abstractNum w:abstractNumId="7" w15:restartNumberingAfterBreak="0">
    <w:nsid w:val="1E531D6C"/>
    <w:multiLevelType w:val="hybridMultilevel"/>
    <w:tmpl w:val="D8EA3752"/>
    <w:styleLink w:val="ListaNumerada-Nmeros"/>
    <w:lvl w:ilvl="0" w:tplc="42CE2548">
      <w:start w:val="1"/>
      <w:numFmt w:val="decimal"/>
      <w:lvlText w:val="%1. "/>
      <w:lvlJc w:val="left"/>
      <w:pPr>
        <w:tabs>
          <w:tab w:val="num" w:pos="851"/>
        </w:tabs>
        <w:ind w:left="1134" w:hanging="283"/>
      </w:pPr>
      <w:rPr>
        <w:rFonts w:cs="Times New Roman" w:hint="default"/>
      </w:rPr>
    </w:lvl>
    <w:lvl w:ilvl="1" w:tplc="C7F23392">
      <w:start w:val="1"/>
      <w:numFmt w:val="bullet"/>
      <w:lvlText w:val=""/>
      <w:lvlJc w:val="left"/>
      <w:pPr>
        <w:tabs>
          <w:tab w:val="num" w:pos="720"/>
        </w:tabs>
        <w:ind w:left="720" w:hanging="360"/>
      </w:pPr>
      <w:rPr>
        <w:rFonts w:ascii="Symbol" w:hAnsi="Symbol" w:hint="default"/>
      </w:rPr>
    </w:lvl>
    <w:lvl w:ilvl="2" w:tplc="D646F148">
      <w:start w:val="1"/>
      <w:numFmt w:val="lowerRoman"/>
      <w:lvlText w:val="%3)"/>
      <w:lvlJc w:val="left"/>
      <w:pPr>
        <w:tabs>
          <w:tab w:val="num" w:pos="1080"/>
        </w:tabs>
        <w:ind w:left="1080" w:hanging="360"/>
      </w:pPr>
      <w:rPr>
        <w:rFonts w:cs="Times New Roman" w:hint="default"/>
      </w:rPr>
    </w:lvl>
    <w:lvl w:ilvl="3" w:tplc="FD762D04">
      <w:start w:val="1"/>
      <w:numFmt w:val="decimal"/>
      <w:lvlText w:val="(%4)"/>
      <w:lvlJc w:val="left"/>
      <w:pPr>
        <w:tabs>
          <w:tab w:val="num" w:pos="1440"/>
        </w:tabs>
        <w:ind w:left="1440" w:hanging="360"/>
      </w:pPr>
      <w:rPr>
        <w:rFonts w:cs="Times New Roman" w:hint="default"/>
      </w:rPr>
    </w:lvl>
    <w:lvl w:ilvl="4" w:tplc="3A38E67E">
      <w:start w:val="1"/>
      <w:numFmt w:val="lowerLetter"/>
      <w:lvlText w:val="(%5)"/>
      <w:lvlJc w:val="left"/>
      <w:pPr>
        <w:tabs>
          <w:tab w:val="num" w:pos="1800"/>
        </w:tabs>
        <w:ind w:left="1800" w:hanging="360"/>
      </w:pPr>
      <w:rPr>
        <w:rFonts w:cs="Times New Roman" w:hint="default"/>
      </w:rPr>
    </w:lvl>
    <w:lvl w:ilvl="5" w:tplc="0C08DB9A">
      <w:start w:val="1"/>
      <w:numFmt w:val="lowerRoman"/>
      <w:lvlText w:val="(%6)"/>
      <w:lvlJc w:val="left"/>
      <w:pPr>
        <w:tabs>
          <w:tab w:val="num" w:pos="2160"/>
        </w:tabs>
        <w:ind w:left="2160" w:hanging="360"/>
      </w:pPr>
      <w:rPr>
        <w:rFonts w:cs="Times New Roman" w:hint="default"/>
      </w:rPr>
    </w:lvl>
    <w:lvl w:ilvl="6" w:tplc="382EA43C">
      <w:start w:val="1"/>
      <w:numFmt w:val="decimal"/>
      <w:lvlText w:val="%7."/>
      <w:lvlJc w:val="left"/>
      <w:pPr>
        <w:tabs>
          <w:tab w:val="num" w:pos="2520"/>
        </w:tabs>
        <w:ind w:left="2520" w:hanging="360"/>
      </w:pPr>
      <w:rPr>
        <w:rFonts w:cs="Times New Roman" w:hint="default"/>
      </w:rPr>
    </w:lvl>
    <w:lvl w:ilvl="7" w:tplc="35AED6C8">
      <w:start w:val="1"/>
      <w:numFmt w:val="lowerLetter"/>
      <w:lvlText w:val="%8."/>
      <w:lvlJc w:val="left"/>
      <w:pPr>
        <w:tabs>
          <w:tab w:val="num" w:pos="2880"/>
        </w:tabs>
        <w:ind w:left="2880" w:hanging="360"/>
      </w:pPr>
      <w:rPr>
        <w:rFonts w:cs="Times New Roman" w:hint="default"/>
      </w:rPr>
    </w:lvl>
    <w:lvl w:ilvl="8" w:tplc="52E69FC6">
      <w:start w:val="1"/>
      <w:numFmt w:val="lowerRoman"/>
      <w:lvlText w:val="%9."/>
      <w:lvlJc w:val="left"/>
      <w:pPr>
        <w:tabs>
          <w:tab w:val="num" w:pos="3240"/>
        </w:tabs>
        <w:ind w:left="3240" w:hanging="360"/>
      </w:pPr>
      <w:rPr>
        <w:rFonts w:cs="Times New Roman" w:hint="default"/>
      </w:rPr>
    </w:lvl>
  </w:abstractNum>
  <w:abstractNum w:abstractNumId="8" w15:restartNumberingAfterBreak="0">
    <w:nsid w:val="1F6B7663"/>
    <w:multiLevelType w:val="hybridMultilevel"/>
    <w:tmpl w:val="511882E6"/>
    <w:lvl w:ilvl="0" w:tplc="2E98CD38">
      <w:start w:val="1"/>
      <w:numFmt w:val="decimal"/>
      <w:pStyle w:val="TtulodoGrfico"/>
      <w:lvlText w:val="GRÁFICO %1 - "/>
      <w:lvlJc w:val="left"/>
      <w:pPr>
        <w:tabs>
          <w:tab w:val="num" w:pos="5813"/>
        </w:tabs>
        <w:ind w:left="7287" w:hanging="1474"/>
      </w:pPr>
      <w:rPr>
        <w:rFonts w:cs="Times New Roman" w:hint="default"/>
      </w:rPr>
    </w:lvl>
    <w:lvl w:ilvl="1" w:tplc="04160019">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1FAE0876"/>
    <w:multiLevelType w:val="hybridMultilevel"/>
    <w:tmpl w:val="AA02AC3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15:restartNumberingAfterBreak="0">
    <w:nsid w:val="2E2326C0"/>
    <w:multiLevelType w:val="hybridMultilevel"/>
    <w:tmpl w:val="9F723E7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34A72E68"/>
    <w:multiLevelType w:val="hybridMultilevel"/>
    <w:tmpl w:val="0260896E"/>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15:restartNumberingAfterBreak="0">
    <w:nsid w:val="38CC3943"/>
    <w:multiLevelType w:val="hybridMultilevel"/>
    <w:tmpl w:val="BE04529C"/>
    <w:styleLink w:val="ListaNumerada-AlneaseIncisos"/>
    <w:lvl w:ilvl="0" w:tplc="34E6E198">
      <w:start w:val="1"/>
      <w:numFmt w:val="lowerLetter"/>
      <w:suff w:val="space"/>
      <w:lvlText w:val="%1)"/>
      <w:lvlJc w:val="left"/>
      <w:pPr>
        <w:ind w:left="1134" w:hanging="283"/>
      </w:pPr>
      <w:rPr>
        <w:rFonts w:cs="Times New Roman" w:hint="default"/>
      </w:rPr>
    </w:lvl>
    <w:lvl w:ilvl="1" w:tplc="2EC0FD60">
      <w:start w:val="1"/>
      <w:numFmt w:val="none"/>
      <w:suff w:val="space"/>
      <w:lvlText w:val="%2-"/>
      <w:lvlJc w:val="left"/>
      <w:pPr>
        <w:ind w:left="1281" w:hanging="147"/>
      </w:pPr>
      <w:rPr>
        <w:rFonts w:cs="Times New Roman" w:hint="default"/>
      </w:rPr>
    </w:lvl>
    <w:lvl w:ilvl="2" w:tplc="14320200">
      <w:start w:val="1"/>
      <w:numFmt w:val="none"/>
      <w:lvlText w:val="%3"/>
      <w:lvlJc w:val="left"/>
      <w:pPr>
        <w:tabs>
          <w:tab w:val="num" w:pos="1440"/>
        </w:tabs>
        <w:ind w:left="1440" w:hanging="360"/>
      </w:pPr>
      <w:rPr>
        <w:rFonts w:cs="Times New Roman" w:hint="default"/>
      </w:rPr>
    </w:lvl>
    <w:lvl w:ilvl="3" w:tplc="066E2E56">
      <w:start w:val="1"/>
      <w:numFmt w:val="none"/>
      <w:lvlText w:val=""/>
      <w:lvlJc w:val="left"/>
      <w:pPr>
        <w:tabs>
          <w:tab w:val="num" w:pos="1800"/>
        </w:tabs>
        <w:ind w:left="1800" w:hanging="360"/>
      </w:pPr>
      <w:rPr>
        <w:rFonts w:cs="Times New Roman" w:hint="default"/>
      </w:rPr>
    </w:lvl>
    <w:lvl w:ilvl="4" w:tplc="22625628">
      <w:start w:val="1"/>
      <w:numFmt w:val="none"/>
      <w:lvlText w:val=""/>
      <w:lvlJc w:val="left"/>
      <w:pPr>
        <w:tabs>
          <w:tab w:val="num" w:pos="2160"/>
        </w:tabs>
        <w:ind w:left="2160" w:hanging="360"/>
      </w:pPr>
      <w:rPr>
        <w:rFonts w:cs="Times New Roman" w:hint="default"/>
      </w:rPr>
    </w:lvl>
    <w:lvl w:ilvl="5" w:tplc="A0BE4264">
      <w:start w:val="1"/>
      <w:numFmt w:val="none"/>
      <w:lvlText w:val=""/>
      <w:lvlJc w:val="left"/>
      <w:pPr>
        <w:tabs>
          <w:tab w:val="num" w:pos="2520"/>
        </w:tabs>
        <w:ind w:left="2520" w:hanging="360"/>
      </w:pPr>
      <w:rPr>
        <w:rFonts w:cs="Times New Roman" w:hint="default"/>
      </w:rPr>
    </w:lvl>
    <w:lvl w:ilvl="6" w:tplc="5366F9AA">
      <w:start w:val="1"/>
      <w:numFmt w:val="none"/>
      <w:lvlText w:val=""/>
      <w:lvlJc w:val="left"/>
      <w:pPr>
        <w:tabs>
          <w:tab w:val="num" w:pos="2880"/>
        </w:tabs>
        <w:ind w:left="2880" w:hanging="360"/>
      </w:pPr>
      <w:rPr>
        <w:rFonts w:cs="Times New Roman" w:hint="default"/>
      </w:rPr>
    </w:lvl>
    <w:lvl w:ilvl="7" w:tplc="9F307330">
      <w:start w:val="1"/>
      <w:numFmt w:val="none"/>
      <w:lvlText w:val=""/>
      <w:lvlJc w:val="left"/>
      <w:pPr>
        <w:tabs>
          <w:tab w:val="num" w:pos="3240"/>
        </w:tabs>
        <w:ind w:left="3240" w:hanging="360"/>
      </w:pPr>
      <w:rPr>
        <w:rFonts w:cs="Times New Roman" w:hint="default"/>
      </w:rPr>
    </w:lvl>
    <w:lvl w:ilvl="8" w:tplc="8C0A0332">
      <w:start w:val="1"/>
      <w:numFmt w:val="none"/>
      <w:lvlText w:val=""/>
      <w:lvlJc w:val="left"/>
      <w:pPr>
        <w:tabs>
          <w:tab w:val="num" w:pos="3600"/>
        </w:tabs>
        <w:ind w:left="3600" w:hanging="360"/>
      </w:pPr>
      <w:rPr>
        <w:rFonts w:cs="Times New Roman" w:hint="default"/>
      </w:rPr>
    </w:lvl>
  </w:abstractNum>
  <w:abstractNum w:abstractNumId="13" w15:restartNumberingAfterBreak="0">
    <w:nsid w:val="3BAE5545"/>
    <w:multiLevelType w:val="multilevel"/>
    <w:tmpl w:val="D6808D7E"/>
    <w:lvl w:ilvl="0">
      <w:start w:val="3"/>
      <w:numFmt w:val="decimal"/>
      <w:lvlText w:val="%1."/>
      <w:lvlJc w:val="left"/>
      <w:pPr>
        <w:ind w:left="495" w:hanging="495"/>
      </w:pPr>
      <w:rPr>
        <w:rFonts w:hint="default"/>
      </w:rPr>
    </w:lvl>
    <w:lvl w:ilvl="1">
      <w:start w:val="1"/>
      <w:numFmt w:val="decimal"/>
      <w:lvlText w:val="%1.%2."/>
      <w:lvlJc w:val="left"/>
      <w:pPr>
        <w:ind w:left="523" w:hanging="495"/>
      </w:pPr>
      <w:rPr>
        <w:rFonts w:hint="default"/>
      </w:rPr>
    </w:lvl>
    <w:lvl w:ilvl="2">
      <w:start w:val="1"/>
      <w:numFmt w:val="decimal"/>
      <w:lvlText w:val="%1.%2.%3."/>
      <w:lvlJc w:val="left"/>
      <w:pPr>
        <w:ind w:left="776" w:hanging="720"/>
      </w:pPr>
      <w:rPr>
        <w:rFonts w:hint="default"/>
        <w:b/>
        <w:bCs w:val="0"/>
      </w:rPr>
    </w:lvl>
    <w:lvl w:ilvl="3">
      <w:start w:val="1"/>
      <w:numFmt w:val="decimal"/>
      <w:lvlText w:val="%1.%2.%3.%4."/>
      <w:lvlJc w:val="left"/>
      <w:pPr>
        <w:ind w:left="804" w:hanging="720"/>
      </w:pPr>
      <w:rPr>
        <w:rFonts w:hint="default"/>
      </w:rPr>
    </w:lvl>
    <w:lvl w:ilvl="4">
      <w:start w:val="1"/>
      <w:numFmt w:val="decimal"/>
      <w:lvlText w:val="%1.%2.%3.%4.%5."/>
      <w:lvlJc w:val="left"/>
      <w:pPr>
        <w:ind w:left="1192" w:hanging="1080"/>
      </w:pPr>
      <w:rPr>
        <w:rFonts w:hint="default"/>
      </w:rPr>
    </w:lvl>
    <w:lvl w:ilvl="5">
      <w:start w:val="1"/>
      <w:numFmt w:val="decimal"/>
      <w:lvlText w:val="%1.%2.%3.%4.%5.%6."/>
      <w:lvlJc w:val="left"/>
      <w:pPr>
        <w:ind w:left="1220" w:hanging="1080"/>
      </w:pPr>
      <w:rPr>
        <w:rFonts w:hint="default"/>
      </w:rPr>
    </w:lvl>
    <w:lvl w:ilvl="6">
      <w:start w:val="1"/>
      <w:numFmt w:val="decimal"/>
      <w:lvlText w:val="%1.%2.%3.%4.%5.%6.%7."/>
      <w:lvlJc w:val="left"/>
      <w:pPr>
        <w:ind w:left="1608" w:hanging="1440"/>
      </w:pPr>
      <w:rPr>
        <w:rFonts w:hint="default"/>
      </w:rPr>
    </w:lvl>
    <w:lvl w:ilvl="7">
      <w:start w:val="1"/>
      <w:numFmt w:val="decimal"/>
      <w:lvlText w:val="%1.%2.%3.%4.%5.%6.%7.%8."/>
      <w:lvlJc w:val="left"/>
      <w:pPr>
        <w:ind w:left="1636" w:hanging="1440"/>
      </w:pPr>
      <w:rPr>
        <w:rFonts w:hint="default"/>
      </w:rPr>
    </w:lvl>
    <w:lvl w:ilvl="8">
      <w:start w:val="1"/>
      <w:numFmt w:val="decimal"/>
      <w:lvlText w:val="%1.%2.%3.%4.%5.%6.%7.%8.%9."/>
      <w:lvlJc w:val="left"/>
      <w:pPr>
        <w:ind w:left="2024" w:hanging="1800"/>
      </w:pPr>
      <w:rPr>
        <w:rFonts w:hint="default"/>
      </w:rPr>
    </w:lvl>
  </w:abstractNum>
  <w:abstractNum w:abstractNumId="14" w15:restartNumberingAfterBreak="0">
    <w:nsid w:val="3C386863"/>
    <w:multiLevelType w:val="hybridMultilevel"/>
    <w:tmpl w:val="EC6229BC"/>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3D5D4A42"/>
    <w:multiLevelType w:val="hybridMultilevel"/>
    <w:tmpl w:val="B8285692"/>
    <w:lvl w:ilvl="0" w:tplc="D1400400">
      <w:start w:val="1"/>
      <w:numFmt w:val="decimal"/>
      <w:pStyle w:val="TtulodoApndice"/>
      <w:lvlText w:val="Apêndice %1 - "/>
      <w:lvlJc w:val="left"/>
      <w:pPr>
        <w:ind w:left="360" w:hanging="360"/>
      </w:pPr>
      <w:rPr>
        <w:rFonts w:cs="Times New Roman" w:hint="default"/>
        <w:b/>
        <w:bCs w:val="0"/>
        <w:i w:val="0"/>
        <w:iCs w:val="0"/>
        <w:caps/>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6" w15:restartNumberingAfterBreak="0">
    <w:nsid w:val="411621EE"/>
    <w:multiLevelType w:val="multilevel"/>
    <w:tmpl w:val="CC94F5D8"/>
    <w:styleLink w:val="Artigoseo"/>
    <w:lvl w:ilvl="0">
      <w:start w:val="1"/>
      <w:numFmt w:val="upperRoman"/>
      <w:lvlText w:val="Artigo %1."/>
      <w:lvlJc w:val="left"/>
      <w:pPr>
        <w:tabs>
          <w:tab w:val="num" w:pos="1440"/>
        </w:tabs>
      </w:pPr>
      <w:rPr>
        <w:rFonts w:cs="Times New Roman"/>
      </w:rPr>
    </w:lvl>
    <w:lvl w:ilvl="1">
      <w:start w:val="1"/>
      <w:numFmt w:val="decimalZero"/>
      <w:isLgl/>
      <w:lvlText w:val="Seção %1.%2"/>
      <w:lvlJc w:val="left"/>
      <w:pPr>
        <w:tabs>
          <w:tab w:val="num" w:pos="108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7" w15:restartNumberingAfterBreak="0">
    <w:nsid w:val="412739F0"/>
    <w:multiLevelType w:val="hybridMultilevel"/>
    <w:tmpl w:val="D66A1EB6"/>
    <w:lvl w:ilvl="0" w:tplc="2668BA2A">
      <w:start w:val="1"/>
      <w:numFmt w:val="decimal"/>
      <w:pStyle w:val="TtulodaFigura"/>
      <w:lvlText w:val="FIGURA %1 - "/>
      <w:lvlJc w:val="left"/>
      <w:pPr>
        <w:tabs>
          <w:tab w:val="num" w:pos="120"/>
        </w:tabs>
        <w:ind w:left="1424" w:hanging="1304"/>
      </w:pPr>
      <w:rPr>
        <w:rFonts w:cs="Times New Roman" w:hint="default"/>
      </w:rPr>
    </w:lvl>
    <w:lvl w:ilvl="1" w:tplc="08561E54">
      <w:start w:val="1"/>
      <w:numFmt w:val="lowerLetter"/>
      <w:lvlText w:val="%2)"/>
      <w:lvlJc w:val="left"/>
      <w:pPr>
        <w:tabs>
          <w:tab w:val="num" w:pos="1935"/>
        </w:tabs>
        <w:ind w:left="1935" w:hanging="855"/>
      </w:pPr>
      <w:rPr>
        <w:rFonts w:cs="Times New Roman"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8" w15:restartNumberingAfterBreak="0">
    <w:nsid w:val="43943F35"/>
    <w:multiLevelType w:val="hybridMultilevel"/>
    <w:tmpl w:val="4CCEF6C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4C9B29C6"/>
    <w:multiLevelType w:val="hybridMultilevel"/>
    <w:tmpl w:val="846EE284"/>
    <w:lvl w:ilvl="0" w:tplc="5AD88B1C">
      <w:start w:val="1"/>
      <w:numFmt w:val="bullet"/>
      <w:lvlText w:val=""/>
      <w:lvlJc w:val="left"/>
      <w:pPr>
        <w:ind w:left="720" w:hanging="360"/>
      </w:pPr>
      <w:rPr>
        <w:rFonts w:ascii="Symbol" w:hAnsi="Symbol" w:hint="default"/>
        <w:sz w:val="16"/>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4CD37E1A"/>
    <w:multiLevelType w:val="hybridMultilevel"/>
    <w:tmpl w:val="048CC67A"/>
    <w:lvl w:ilvl="0" w:tplc="63FAF176">
      <w:start w:val="1"/>
      <w:numFmt w:val="upperRoman"/>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1A20348"/>
    <w:multiLevelType w:val="hybridMultilevel"/>
    <w:tmpl w:val="05169C7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60D21E28"/>
    <w:multiLevelType w:val="hybridMultilevel"/>
    <w:tmpl w:val="CE88D9FA"/>
    <w:lvl w:ilvl="0" w:tplc="5184B172">
      <w:start w:val="1"/>
      <w:numFmt w:val="decimal"/>
      <w:pStyle w:val="TtulodaTabela"/>
      <w:lvlText w:val="TABELA %1 - "/>
      <w:lvlJc w:val="left"/>
      <w:pPr>
        <w:tabs>
          <w:tab w:val="num" w:pos="6238"/>
        </w:tabs>
        <w:ind w:left="7576" w:hanging="1338"/>
      </w:pPr>
      <w:rPr>
        <w:rFonts w:cs="Times New Roman" w:hint="default"/>
      </w:rPr>
    </w:lvl>
    <w:lvl w:ilvl="1" w:tplc="D54ECFCC" w:tentative="1">
      <w:start w:val="1"/>
      <w:numFmt w:val="lowerLetter"/>
      <w:lvlText w:val="%2."/>
      <w:lvlJc w:val="left"/>
      <w:pPr>
        <w:tabs>
          <w:tab w:val="num" w:pos="1440"/>
        </w:tabs>
        <w:ind w:left="1440" w:hanging="360"/>
      </w:pPr>
      <w:rPr>
        <w:rFonts w:cs="Times New Roman"/>
      </w:rPr>
    </w:lvl>
    <w:lvl w:ilvl="2" w:tplc="4426E4C4" w:tentative="1">
      <w:start w:val="1"/>
      <w:numFmt w:val="lowerRoman"/>
      <w:lvlText w:val="%3."/>
      <w:lvlJc w:val="right"/>
      <w:pPr>
        <w:tabs>
          <w:tab w:val="num" w:pos="2160"/>
        </w:tabs>
        <w:ind w:left="2160" w:hanging="180"/>
      </w:pPr>
      <w:rPr>
        <w:rFonts w:cs="Times New Roman"/>
      </w:rPr>
    </w:lvl>
    <w:lvl w:ilvl="3" w:tplc="C5DC1720" w:tentative="1">
      <w:start w:val="1"/>
      <w:numFmt w:val="decimal"/>
      <w:lvlText w:val="%4."/>
      <w:lvlJc w:val="left"/>
      <w:pPr>
        <w:tabs>
          <w:tab w:val="num" w:pos="2880"/>
        </w:tabs>
        <w:ind w:left="2880" w:hanging="360"/>
      </w:pPr>
      <w:rPr>
        <w:rFonts w:cs="Times New Roman"/>
      </w:rPr>
    </w:lvl>
    <w:lvl w:ilvl="4" w:tplc="8DC68B0E" w:tentative="1">
      <w:start w:val="1"/>
      <w:numFmt w:val="lowerLetter"/>
      <w:lvlText w:val="%5."/>
      <w:lvlJc w:val="left"/>
      <w:pPr>
        <w:tabs>
          <w:tab w:val="num" w:pos="3600"/>
        </w:tabs>
        <w:ind w:left="3600" w:hanging="360"/>
      </w:pPr>
      <w:rPr>
        <w:rFonts w:cs="Times New Roman"/>
      </w:rPr>
    </w:lvl>
    <w:lvl w:ilvl="5" w:tplc="14B4AB78" w:tentative="1">
      <w:start w:val="1"/>
      <w:numFmt w:val="lowerRoman"/>
      <w:lvlText w:val="%6."/>
      <w:lvlJc w:val="right"/>
      <w:pPr>
        <w:tabs>
          <w:tab w:val="num" w:pos="4320"/>
        </w:tabs>
        <w:ind w:left="4320" w:hanging="180"/>
      </w:pPr>
      <w:rPr>
        <w:rFonts w:cs="Times New Roman"/>
      </w:rPr>
    </w:lvl>
    <w:lvl w:ilvl="6" w:tplc="9558C55E" w:tentative="1">
      <w:start w:val="1"/>
      <w:numFmt w:val="decimal"/>
      <w:lvlText w:val="%7."/>
      <w:lvlJc w:val="left"/>
      <w:pPr>
        <w:tabs>
          <w:tab w:val="num" w:pos="5040"/>
        </w:tabs>
        <w:ind w:left="5040" w:hanging="360"/>
      </w:pPr>
      <w:rPr>
        <w:rFonts w:cs="Times New Roman"/>
      </w:rPr>
    </w:lvl>
    <w:lvl w:ilvl="7" w:tplc="2B282228" w:tentative="1">
      <w:start w:val="1"/>
      <w:numFmt w:val="lowerLetter"/>
      <w:lvlText w:val="%8."/>
      <w:lvlJc w:val="left"/>
      <w:pPr>
        <w:tabs>
          <w:tab w:val="num" w:pos="5760"/>
        </w:tabs>
        <w:ind w:left="5760" w:hanging="360"/>
      </w:pPr>
      <w:rPr>
        <w:rFonts w:cs="Times New Roman"/>
      </w:rPr>
    </w:lvl>
    <w:lvl w:ilvl="8" w:tplc="E2B61BE4" w:tentative="1">
      <w:start w:val="1"/>
      <w:numFmt w:val="lowerRoman"/>
      <w:lvlText w:val="%9."/>
      <w:lvlJc w:val="right"/>
      <w:pPr>
        <w:tabs>
          <w:tab w:val="num" w:pos="6480"/>
        </w:tabs>
        <w:ind w:left="6480" w:hanging="180"/>
      </w:pPr>
      <w:rPr>
        <w:rFonts w:cs="Times New Roman"/>
      </w:rPr>
    </w:lvl>
  </w:abstractNum>
  <w:abstractNum w:abstractNumId="23" w15:restartNumberingAfterBreak="0">
    <w:nsid w:val="64DC1F12"/>
    <w:multiLevelType w:val="hybridMultilevel"/>
    <w:tmpl w:val="5CA6BDB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6A687395"/>
    <w:multiLevelType w:val="hybridMultilevel"/>
    <w:tmpl w:val="C938E67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6C5E22E6"/>
    <w:multiLevelType w:val="hybridMultilevel"/>
    <w:tmpl w:val="9E441576"/>
    <w:lvl w:ilvl="0" w:tplc="C4C8DDD0">
      <w:start w:val="1"/>
      <w:numFmt w:val="lowerRoman"/>
      <w:lvlText w:val="%1."/>
      <w:lvlJc w:val="right"/>
      <w:pPr>
        <w:ind w:left="720" w:hanging="360"/>
      </w:pPr>
      <w:rPr>
        <w:rFonts w:hint="default"/>
        <w:sz w:val="22"/>
        <w:szCs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6CE02215"/>
    <w:multiLevelType w:val="multilevel"/>
    <w:tmpl w:val="0554DE52"/>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27" w15:restartNumberingAfterBreak="0">
    <w:nsid w:val="6FA5578B"/>
    <w:multiLevelType w:val="hybridMultilevel"/>
    <w:tmpl w:val="5C2EB4B6"/>
    <w:lvl w:ilvl="0" w:tplc="B92EA186">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704B2B29"/>
    <w:multiLevelType w:val="hybridMultilevel"/>
    <w:tmpl w:val="03DA2AA8"/>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9" w15:restartNumberingAfterBreak="0">
    <w:nsid w:val="728410E5"/>
    <w:multiLevelType w:val="hybridMultilevel"/>
    <w:tmpl w:val="9E28CB10"/>
    <w:lvl w:ilvl="0" w:tplc="AAF864B4">
      <w:start w:val="1"/>
      <w:numFmt w:val="decimal"/>
      <w:pStyle w:val="TtulodoQuadro"/>
      <w:lvlText w:val="QUADRO %1 - "/>
      <w:lvlJc w:val="left"/>
      <w:pPr>
        <w:tabs>
          <w:tab w:val="num" w:pos="0"/>
        </w:tabs>
        <w:ind w:left="1361" w:hanging="1361"/>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0" w15:restartNumberingAfterBreak="0">
    <w:nsid w:val="7A7A7378"/>
    <w:multiLevelType w:val="hybridMultilevel"/>
    <w:tmpl w:val="1A9C2790"/>
    <w:lvl w:ilvl="0" w:tplc="4894E96A">
      <w:start w:val="1"/>
      <w:numFmt w:val="decimal"/>
      <w:pStyle w:val="TtulodoAnexo"/>
      <w:lvlText w:val="Anexo %1 - "/>
      <w:lvlJc w:val="left"/>
      <w:pPr>
        <w:tabs>
          <w:tab w:val="num" w:pos="0"/>
        </w:tabs>
        <w:ind w:left="1021" w:hanging="1021"/>
      </w:pPr>
      <w:rPr>
        <w:rFonts w:cs="Times New Roman" w:hint="default"/>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31" w15:restartNumberingAfterBreak="0">
    <w:nsid w:val="7D9E6405"/>
    <w:multiLevelType w:val="hybridMultilevel"/>
    <w:tmpl w:val="D894315A"/>
    <w:lvl w:ilvl="0" w:tplc="04160001">
      <w:start w:val="1"/>
      <w:numFmt w:val="bullet"/>
      <w:lvlText w:val=""/>
      <w:lvlJc w:val="left"/>
      <w:pPr>
        <w:ind w:left="720" w:hanging="360"/>
      </w:pPr>
      <w:rPr>
        <w:rFonts w:ascii="Symbol" w:hAnsi="Symbol" w:hint="default"/>
      </w:rPr>
    </w:lvl>
    <w:lvl w:ilvl="1" w:tplc="5AD88B1C">
      <w:start w:val="1"/>
      <w:numFmt w:val="bullet"/>
      <w:lvlText w:val=""/>
      <w:lvlJc w:val="left"/>
      <w:pPr>
        <w:ind w:left="1440" w:hanging="360"/>
      </w:pPr>
      <w:rPr>
        <w:rFonts w:ascii="Symbol" w:hAnsi="Symbol" w:hint="default"/>
        <w:sz w:val="16"/>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7F537428"/>
    <w:multiLevelType w:val="hybridMultilevel"/>
    <w:tmpl w:val="FD66B96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num w:numId="1" w16cid:durableId="884877170">
    <w:abstractNumId w:val="1"/>
  </w:num>
  <w:num w:numId="2" w16cid:durableId="638998582">
    <w:abstractNumId w:val="16"/>
  </w:num>
  <w:num w:numId="3" w16cid:durableId="1782145203">
    <w:abstractNumId w:val="26"/>
  </w:num>
  <w:num w:numId="4" w16cid:durableId="435911499">
    <w:abstractNumId w:val="6"/>
  </w:num>
  <w:num w:numId="5" w16cid:durableId="610743933">
    <w:abstractNumId w:val="12"/>
  </w:num>
  <w:num w:numId="6" w16cid:durableId="483543113">
    <w:abstractNumId w:val="17"/>
  </w:num>
  <w:num w:numId="7" w16cid:durableId="863665500">
    <w:abstractNumId w:val="22"/>
  </w:num>
  <w:num w:numId="8" w16cid:durableId="1983148548">
    <w:abstractNumId w:val="7"/>
  </w:num>
  <w:num w:numId="9" w16cid:durableId="443884115">
    <w:abstractNumId w:val="29"/>
  </w:num>
  <w:num w:numId="10" w16cid:durableId="313073286">
    <w:abstractNumId w:val="8"/>
  </w:num>
  <w:num w:numId="11" w16cid:durableId="1843229896">
    <w:abstractNumId w:val="15"/>
  </w:num>
  <w:num w:numId="12" w16cid:durableId="725372470">
    <w:abstractNumId w:val="30"/>
  </w:num>
  <w:num w:numId="13" w16cid:durableId="2138403467">
    <w:abstractNumId w:val="1"/>
  </w:num>
  <w:num w:numId="14" w16cid:durableId="1954825109">
    <w:abstractNumId w:val="18"/>
  </w:num>
  <w:num w:numId="15" w16cid:durableId="1755854465">
    <w:abstractNumId w:val="13"/>
  </w:num>
  <w:num w:numId="16" w16cid:durableId="1926069694">
    <w:abstractNumId w:val="28"/>
  </w:num>
  <w:num w:numId="17" w16cid:durableId="42022226">
    <w:abstractNumId w:val="27"/>
  </w:num>
  <w:num w:numId="18" w16cid:durableId="2130736763">
    <w:abstractNumId w:val="23"/>
  </w:num>
  <w:num w:numId="19" w16cid:durableId="847209353">
    <w:abstractNumId w:val="9"/>
  </w:num>
  <w:num w:numId="20" w16cid:durableId="2017884614">
    <w:abstractNumId w:val="0"/>
  </w:num>
  <w:num w:numId="21" w16cid:durableId="1992639333">
    <w:abstractNumId w:val="1"/>
  </w:num>
  <w:num w:numId="22" w16cid:durableId="829179042">
    <w:abstractNumId w:val="21"/>
  </w:num>
  <w:num w:numId="23" w16cid:durableId="386730845">
    <w:abstractNumId w:val="1"/>
  </w:num>
  <w:num w:numId="24" w16cid:durableId="1060640774">
    <w:abstractNumId w:val="11"/>
  </w:num>
  <w:num w:numId="25" w16cid:durableId="1378160263">
    <w:abstractNumId w:val="20"/>
  </w:num>
  <w:num w:numId="26" w16cid:durableId="1137183632">
    <w:abstractNumId w:val="14"/>
  </w:num>
  <w:num w:numId="27" w16cid:durableId="326330210">
    <w:abstractNumId w:val="31"/>
  </w:num>
  <w:num w:numId="28" w16cid:durableId="1002508487">
    <w:abstractNumId w:val="4"/>
  </w:num>
  <w:num w:numId="29" w16cid:durableId="949778095">
    <w:abstractNumId w:val="19"/>
  </w:num>
  <w:num w:numId="30" w16cid:durableId="55706284">
    <w:abstractNumId w:val="24"/>
  </w:num>
  <w:num w:numId="31" w16cid:durableId="1148548771">
    <w:abstractNumId w:val="32"/>
  </w:num>
  <w:num w:numId="32" w16cid:durableId="2077632125">
    <w:abstractNumId w:val="3"/>
  </w:num>
  <w:num w:numId="33" w16cid:durableId="342825987">
    <w:abstractNumId w:val="10"/>
  </w:num>
  <w:num w:numId="34" w16cid:durableId="959452576">
    <w:abstractNumId w:val="25"/>
  </w:num>
  <w:num w:numId="35" w16cid:durableId="510871505">
    <w:abstractNumId w:val="2"/>
  </w:num>
  <w:num w:numId="36" w16cid:durableId="611013845">
    <w:abstractNumId w:val="5"/>
  </w:num>
  <w:num w:numId="37" w16cid:durableId="1342585028">
    <w:abstractNumId w:val="1"/>
  </w:num>
  <w:num w:numId="38" w16cid:durableId="179779316">
    <w:abstractNumId w:val="1"/>
  </w:num>
  <w:num w:numId="39" w16cid:durableId="1081758724">
    <w:abstractNumId w:val="1"/>
  </w:num>
  <w:num w:numId="40" w16cid:durableId="778993056">
    <w:abstractNumId w:val="1"/>
  </w:num>
  <w:num w:numId="41" w16cid:durableId="1760833798">
    <w:abstractNumId w:val="1"/>
  </w:num>
  <w:num w:numId="42" w16cid:durableId="1817409434">
    <w:abstractNumId w:val="1"/>
  </w:num>
  <w:num w:numId="43" w16cid:durableId="364209562">
    <w:abstractNumId w:val="1"/>
  </w:num>
  <w:num w:numId="44" w16cid:durableId="1729108632">
    <w:abstractNumId w:val="1"/>
  </w:num>
  <w:num w:numId="45" w16cid:durableId="1978293982">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pt-BR" w:vendorID="64" w:dllVersion="6" w:nlCheck="1" w:checkStyle="0"/>
  <w:activeWritingStyle w:appName="MSWord" w:lang="pt-BR" w:vendorID="64" w:dllVersion="0" w:nlCheck="1" w:checkStyle="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0"/>
  <w:hyphenationZone w:val="425"/>
  <w:defaultTableStyle w:val="Tabela"/>
  <w:drawingGridHorizontalSpacing w:val="120"/>
  <w:displayHorizontalDrawingGridEvery w:val="2"/>
  <w:displayVerticalDrawingGridEvery w:val="2"/>
  <w:noPunctuationKerning/>
  <w:characterSpacingControl w:val="doNotCompress"/>
  <w:hdrShapeDefaults>
    <o:shapedefaults v:ext="edit" spidmax="34817"/>
  </w:hdrShapeDefaults>
  <w:footnotePr>
    <w:pos w:val="beneathTex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ENInstantFormat&gt;"/>
    <w:docVar w:name="EN.Layout" w:val="&lt;ENLayout&gt;&lt;Style&gt;ABNT_autor_data edmar&lt;/Style&gt;&lt;LeftDelim&gt;{&lt;/LeftDelim&gt;&lt;RightDelim&gt;}&lt;/RightDelim&gt;&lt;FontName&gt;Arial&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Referencias EDMAR.enl&lt;/item&gt;&lt;/Libraries&gt;&lt;/ENLibraries&gt;"/>
  </w:docVars>
  <w:rsids>
    <w:rsidRoot w:val="00E61BC1"/>
    <w:rsid w:val="00000655"/>
    <w:rsid w:val="0000098B"/>
    <w:rsid w:val="00000B66"/>
    <w:rsid w:val="000018A0"/>
    <w:rsid w:val="00001A73"/>
    <w:rsid w:val="00003355"/>
    <w:rsid w:val="0000338C"/>
    <w:rsid w:val="000035F2"/>
    <w:rsid w:val="000036FE"/>
    <w:rsid w:val="0000376F"/>
    <w:rsid w:val="000047F9"/>
    <w:rsid w:val="00004BDF"/>
    <w:rsid w:val="00005A14"/>
    <w:rsid w:val="00006024"/>
    <w:rsid w:val="000066D2"/>
    <w:rsid w:val="00007026"/>
    <w:rsid w:val="00007960"/>
    <w:rsid w:val="00007F57"/>
    <w:rsid w:val="00010BDB"/>
    <w:rsid w:val="00010F2A"/>
    <w:rsid w:val="00011578"/>
    <w:rsid w:val="00011599"/>
    <w:rsid w:val="00011B2C"/>
    <w:rsid w:val="00011D25"/>
    <w:rsid w:val="000123DA"/>
    <w:rsid w:val="0001240E"/>
    <w:rsid w:val="00012522"/>
    <w:rsid w:val="00012948"/>
    <w:rsid w:val="00012BC0"/>
    <w:rsid w:val="00013FDD"/>
    <w:rsid w:val="00014685"/>
    <w:rsid w:val="00014A19"/>
    <w:rsid w:val="0001526B"/>
    <w:rsid w:val="000152EE"/>
    <w:rsid w:val="00016767"/>
    <w:rsid w:val="00016B28"/>
    <w:rsid w:val="00016CA2"/>
    <w:rsid w:val="00016E36"/>
    <w:rsid w:val="00017214"/>
    <w:rsid w:val="00017F0E"/>
    <w:rsid w:val="00020E17"/>
    <w:rsid w:val="00021877"/>
    <w:rsid w:val="000218A8"/>
    <w:rsid w:val="00021956"/>
    <w:rsid w:val="000232CC"/>
    <w:rsid w:val="00023362"/>
    <w:rsid w:val="00023BDB"/>
    <w:rsid w:val="00023BE6"/>
    <w:rsid w:val="00023DD9"/>
    <w:rsid w:val="00024B34"/>
    <w:rsid w:val="000251C5"/>
    <w:rsid w:val="00025529"/>
    <w:rsid w:val="000256DD"/>
    <w:rsid w:val="00025F4C"/>
    <w:rsid w:val="00026746"/>
    <w:rsid w:val="00026A50"/>
    <w:rsid w:val="00026F1E"/>
    <w:rsid w:val="0002702A"/>
    <w:rsid w:val="00027048"/>
    <w:rsid w:val="0002743B"/>
    <w:rsid w:val="00027673"/>
    <w:rsid w:val="00030625"/>
    <w:rsid w:val="00030642"/>
    <w:rsid w:val="000306C1"/>
    <w:rsid w:val="00030DC1"/>
    <w:rsid w:val="000314D7"/>
    <w:rsid w:val="000317FF"/>
    <w:rsid w:val="0003183F"/>
    <w:rsid w:val="00031FDC"/>
    <w:rsid w:val="0003259B"/>
    <w:rsid w:val="000330CE"/>
    <w:rsid w:val="00033922"/>
    <w:rsid w:val="000346F0"/>
    <w:rsid w:val="00034AB6"/>
    <w:rsid w:val="000357DD"/>
    <w:rsid w:val="00035BEE"/>
    <w:rsid w:val="00035EBE"/>
    <w:rsid w:val="000372AE"/>
    <w:rsid w:val="00037497"/>
    <w:rsid w:val="00037CE3"/>
    <w:rsid w:val="00037FC5"/>
    <w:rsid w:val="0004015C"/>
    <w:rsid w:val="00040F21"/>
    <w:rsid w:val="00040F8F"/>
    <w:rsid w:val="00040FD1"/>
    <w:rsid w:val="00040FDA"/>
    <w:rsid w:val="0004179D"/>
    <w:rsid w:val="00041B6B"/>
    <w:rsid w:val="00042682"/>
    <w:rsid w:val="000428A1"/>
    <w:rsid w:val="00043AC6"/>
    <w:rsid w:val="00043F14"/>
    <w:rsid w:val="0004426D"/>
    <w:rsid w:val="00044E36"/>
    <w:rsid w:val="00045424"/>
    <w:rsid w:val="0004565C"/>
    <w:rsid w:val="00045A7D"/>
    <w:rsid w:val="00045D98"/>
    <w:rsid w:val="000461B2"/>
    <w:rsid w:val="00046413"/>
    <w:rsid w:val="0004670B"/>
    <w:rsid w:val="00046859"/>
    <w:rsid w:val="000477F2"/>
    <w:rsid w:val="0005022A"/>
    <w:rsid w:val="000503AE"/>
    <w:rsid w:val="000508EA"/>
    <w:rsid w:val="00050AA5"/>
    <w:rsid w:val="00051CA0"/>
    <w:rsid w:val="00052435"/>
    <w:rsid w:val="00052729"/>
    <w:rsid w:val="00052AE0"/>
    <w:rsid w:val="00052CE9"/>
    <w:rsid w:val="0005302C"/>
    <w:rsid w:val="00054655"/>
    <w:rsid w:val="000546CA"/>
    <w:rsid w:val="00055E37"/>
    <w:rsid w:val="0005617E"/>
    <w:rsid w:val="00056EDA"/>
    <w:rsid w:val="000601FD"/>
    <w:rsid w:val="00060584"/>
    <w:rsid w:val="00060F4F"/>
    <w:rsid w:val="00061433"/>
    <w:rsid w:val="00061A4E"/>
    <w:rsid w:val="00061C4A"/>
    <w:rsid w:val="0006291C"/>
    <w:rsid w:val="00062DDC"/>
    <w:rsid w:val="00062FAD"/>
    <w:rsid w:val="00063A4B"/>
    <w:rsid w:val="0006456C"/>
    <w:rsid w:val="00064690"/>
    <w:rsid w:val="000646A8"/>
    <w:rsid w:val="00064B4A"/>
    <w:rsid w:val="00064F91"/>
    <w:rsid w:val="000651B2"/>
    <w:rsid w:val="0006736E"/>
    <w:rsid w:val="000700DF"/>
    <w:rsid w:val="000713B4"/>
    <w:rsid w:val="000713D1"/>
    <w:rsid w:val="0007172A"/>
    <w:rsid w:val="00071E4B"/>
    <w:rsid w:val="000720B7"/>
    <w:rsid w:val="000722CE"/>
    <w:rsid w:val="00072928"/>
    <w:rsid w:val="00072E5B"/>
    <w:rsid w:val="00074BC3"/>
    <w:rsid w:val="00074BFA"/>
    <w:rsid w:val="000756AC"/>
    <w:rsid w:val="000758F5"/>
    <w:rsid w:val="00076007"/>
    <w:rsid w:val="00076B1E"/>
    <w:rsid w:val="000775AD"/>
    <w:rsid w:val="00077B3E"/>
    <w:rsid w:val="000804EE"/>
    <w:rsid w:val="000804F2"/>
    <w:rsid w:val="00080D16"/>
    <w:rsid w:val="00081FF1"/>
    <w:rsid w:val="000823D5"/>
    <w:rsid w:val="00082959"/>
    <w:rsid w:val="00082A2C"/>
    <w:rsid w:val="00082AD0"/>
    <w:rsid w:val="000844A9"/>
    <w:rsid w:val="00084A63"/>
    <w:rsid w:val="00084B4B"/>
    <w:rsid w:val="00084D2C"/>
    <w:rsid w:val="000852A0"/>
    <w:rsid w:val="0008554C"/>
    <w:rsid w:val="0008555E"/>
    <w:rsid w:val="000858CE"/>
    <w:rsid w:val="00085F2F"/>
    <w:rsid w:val="000865E0"/>
    <w:rsid w:val="000869D3"/>
    <w:rsid w:val="0008720A"/>
    <w:rsid w:val="000876FE"/>
    <w:rsid w:val="00087B0B"/>
    <w:rsid w:val="00087E1E"/>
    <w:rsid w:val="00087F48"/>
    <w:rsid w:val="0009028D"/>
    <w:rsid w:val="00092242"/>
    <w:rsid w:val="000922D2"/>
    <w:rsid w:val="000925A4"/>
    <w:rsid w:val="00092D1D"/>
    <w:rsid w:val="0009325B"/>
    <w:rsid w:val="000935D3"/>
    <w:rsid w:val="00093E2B"/>
    <w:rsid w:val="00093FA4"/>
    <w:rsid w:val="00094094"/>
    <w:rsid w:val="000941CB"/>
    <w:rsid w:val="00094597"/>
    <w:rsid w:val="00094F34"/>
    <w:rsid w:val="00095FB0"/>
    <w:rsid w:val="000963BB"/>
    <w:rsid w:val="000971F0"/>
    <w:rsid w:val="000978E5"/>
    <w:rsid w:val="00097EE1"/>
    <w:rsid w:val="000A08F7"/>
    <w:rsid w:val="000A0CA9"/>
    <w:rsid w:val="000A0F42"/>
    <w:rsid w:val="000A15DC"/>
    <w:rsid w:val="000A1FFA"/>
    <w:rsid w:val="000A206E"/>
    <w:rsid w:val="000A2362"/>
    <w:rsid w:val="000A26A1"/>
    <w:rsid w:val="000A296E"/>
    <w:rsid w:val="000A2B72"/>
    <w:rsid w:val="000A3269"/>
    <w:rsid w:val="000A3CBE"/>
    <w:rsid w:val="000A3ED4"/>
    <w:rsid w:val="000A428A"/>
    <w:rsid w:val="000A5177"/>
    <w:rsid w:val="000A51A2"/>
    <w:rsid w:val="000A5635"/>
    <w:rsid w:val="000A5B07"/>
    <w:rsid w:val="000A5D88"/>
    <w:rsid w:val="000A5DBE"/>
    <w:rsid w:val="000A62D0"/>
    <w:rsid w:val="000A685A"/>
    <w:rsid w:val="000A68E0"/>
    <w:rsid w:val="000A7279"/>
    <w:rsid w:val="000A769B"/>
    <w:rsid w:val="000A76AE"/>
    <w:rsid w:val="000A788B"/>
    <w:rsid w:val="000A794E"/>
    <w:rsid w:val="000A7B5C"/>
    <w:rsid w:val="000B09CF"/>
    <w:rsid w:val="000B0CC5"/>
    <w:rsid w:val="000B12F8"/>
    <w:rsid w:val="000B1822"/>
    <w:rsid w:val="000B1CB0"/>
    <w:rsid w:val="000B215F"/>
    <w:rsid w:val="000B2295"/>
    <w:rsid w:val="000B315D"/>
    <w:rsid w:val="000B3BAD"/>
    <w:rsid w:val="000B3BE9"/>
    <w:rsid w:val="000B3FA6"/>
    <w:rsid w:val="000B46A1"/>
    <w:rsid w:val="000B5607"/>
    <w:rsid w:val="000B59BE"/>
    <w:rsid w:val="000B5B0B"/>
    <w:rsid w:val="000B5BEC"/>
    <w:rsid w:val="000B5D1C"/>
    <w:rsid w:val="000B5F4D"/>
    <w:rsid w:val="000B6137"/>
    <w:rsid w:val="000B69E8"/>
    <w:rsid w:val="000B6E8C"/>
    <w:rsid w:val="000B7659"/>
    <w:rsid w:val="000B76C6"/>
    <w:rsid w:val="000C0409"/>
    <w:rsid w:val="000C0517"/>
    <w:rsid w:val="000C07FE"/>
    <w:rsid w:val="000C0CF1"/>
    <w:rsid w:val="000C16E8"/>
    <w:rsid w:val="000C295A"/>
    <w:rsid w:val="000C2D5B"/>
    <w:rsid w:val="000C2F46"/>
    <w:rsid w:val="000C3885"/>
    <w:rsid w:val="000C4997"/>
    <w:rsid w:val="000C4EDB"/>
    <w:rsid w:val="000C4F4D"/>
    <w:rsid w:val="000C501B"/>
    <w:rsid w:val="000C5473"/>
    <w:rsid w:val="000C5E0B"/>
    <w:rsid w:val="000C6E18"/>
    <w:rsid w:val="000C70B2"/>
    <w:rsid w:val="000C7E4B"/>
    <w:rsid w:val="000D03DC"/>
    <w:rsid w:val="000D08D6"/>
    <w:rsid w:val="000D1049"/>
    <w:rsid w:val="000D12B1"/>
    <w:rsid w:val="000D135E"/>
    <w:rsid w:val="000D1EBC"/>
    <w:rsid w:val="000D2941"/>
    <w:rsid w:val="000D2CFA"/>
    <w:rsid w:val="000D2D33"/>
    <w:rsid w:val="000D379F"/>
    <w:rsid w:val="000D39AE"/>
    <w:rsid w:val="000D3BA6"/>
    <w:rsid w:val="000D4A8A"/>
    <w:rsid w:val="000D4D7C"/>
    <w:rsid w:val="000D4E60"/>
    <w:rsid w:val="000D5175"/>
    <w:rsid w:val="000D5AD9"/>
    <w:rsid w:val="000D5AF3"/>
    <w:rsid w:val="000D70A9"/>
    <w:rsid w:val="000D7BBE"/>
    <w:rsid w:val="000E060A"/>
    <w:rsid w:val="000E095E"/>
    <w:rsid w:val="000E1743"/>
    <w:rsid w:val="000E20B4"/>
    <w:rsid w:val="000E3F2F"/>
    <w:rsid w:val="000E4460"/>
    <w:rsid w:val="000E4CC2"/>
    <w:rsid w:val="000E52BA"/>
    <w:rsid w:val="000E59A7"/>
    <w:rsid w:val="000E5D2E"/>
    <w:rsid w:val="000E5D9A"/>
    <w:rsid w:val="000E601C"/>
    <w:rsid w:val="000E6118"/>
    <w:rsid w:val="000E6697"/>
    <w:rsid w:val="000E7594"/>
    <w:rsid w:val="000E787A"/>
    <w:rsid w:val="000E797C"/>
    <w:rsid w:val="000F0B4C"/>
    <w:rsid w:val="000F0D4C"/>
    <w:rsid w:val="000F219C"/>
    <w:rsid w:val="000F24F4"/>
    <w:rsid w:val="000F28AC"/>
    <w:rsid w:val="000F2AD7"/>
    <w:rsid w:val="000F2E0B"/>
    <w:rsid w:val="000F302B"/>
    <w:rsid w:val="000F3462"/>
    <w:rsid w:val="000F3509"/>
    <w:rsid w:val="000F352E"/>
    <w:rsid w:val="000F37DA"/>
    <w:rsid w:val="000F3B4B"/>
    <w:rsid w:val="000F46AC"/>
    <w:rsid w:val="000F4815"/>
    <w:rsid w:val="000F4DB1"/>
    <w:rsid w:val="000F4DC8"/>
    <w:rsid w:val="000F62AF"/>
    <w:rsid w:val="000F63FE"/>
    <w:rsid w:val="000F649B"/>
    <w:rsid w:val="000F69EF"/>
    <w:rsid w:val="000F70D6"/>
    <w:rsid w:val="000F715D"/>
    <w:rsid w:val="000F73A9"/>
    <w:rsid w:val="000F7408"/>
    <w:rsid w:val="000F75D8"/>
    <w:rsid w:val="001004E8"/>
    <w:rsid w:val="00100C32"/>
    <w:rsid w:val="00101224"/>
    <w:rsid w:val="001014A8"/>
    <w:rsid w:val="0010226C"/>
    <w:rsid w:val="00102DB5"/>
    <w:rsid w:val="001030D4"/>
    <w:rsid w:val="00103238"/>
    <w:rsid w:val="0010411D"/>
    <w:rsid w:val="00104928"/>
    <w:rsid w:val="00104E34"/>
    <w:rsid w:val="00105E23"/>
    <w:rsid w:val="0010690C"/>
    <w:rsid w:val="00106B84"/>
    <w:rsid w:val="0010707D"/>
    <w:rsid w:val="00107D36"/>
    <w:rsid w:val="00110118"/>
    <w:rsid w:val="00110A21"/>
    <w:rsid w:val="001110D0"/>
    <w:rsid w:val="001111E3"/>
    <w:rsid w:val="001117A0"/>
    <w:rsid w:val="0011200B"/>
    <w:rsid w:val="00112A0E"/>
    <w:rsid w:val="00112C12"/>
    <w:rsid w:val="00112F87"/>
    <w:rsid w:val="001135D0"/>
    <w:rsid w:val="00113BF1"/>
    <w:rsid w:val="0011445F"/>
    <w:rsid w:val="001146B1"/>
    <w:rsid w:val="00114FBE"/>
    <w:rsid w:val="00115220"/>
    <w:rsid w:val="00115278"/>
    <w:rsid w:val="0011590E"/>
    <w:rsid w:val="00115DB8"/>
    <w:rsid w:val="00116536"/>
    <w:rsid w:val="00116BE9"/>
    <w:rsid w:val="00116E20"/>
    <w:rsid w:val="00117045"/>
    <w:rsid w:val="0011783C"/>
    <w:rsid w:val="00120092"/>
    <w:rsid w:val="00120477"/>
    <w:rsid w:val="00120984"/>
    <w:rsid w:val="00121137"/>
    <w:rsid w:val="00121F48"/>
    <w:rsid w:val="001220A1"/>
    <w:rsid w:val="001220AF"/>
    <w:rsid w:val="001221BD"/>
    <w:rsid w:val="0012282B"/>
    <w:rsid w:val="00122C24"/>
    <w:rsid w:val="00124684"/>
    <w:rsid w:val="0012489F"/>
    <w:rsid w:val="00124ECF"/>
    <w:rsid w:val="00124F73"/>
    <w:rsid w:val="001250CC"/>
    <w:rsid w:val="00125CF1"/>
    <w:rsid w:val="00126762"/>
    <w:rsid w:val="00127308"/>
    <w:rsid w:val="00127707"/>
    <w:rsid w:val="001302CF"/>
    <w:rsid w:val="001303C3"/>
    <w:rsid w:val="00130D86"/>
    <w:rsid w:val="00130EF4"/>
    <w:rsid w:val="00131A33"/>
    <w:rsid w:val="00131AAB"/>
    <w:rsid w:val="00131E6D"/>
    <w:rsid w:val="001327C0"/>
    <w:rsid w:val="00132BFA"/>
    <w:rsid w:val="00132C04"/>
    <w:rsid w:val="00132C29"/>
    <w:rsid w:val="001331C7"/>
    <w:rsid w:val="001337A4"/>
    <w:rsid w:val="001338BD"/>
    <w:rsid w:val="00134802"/>
    <w:rsid w:val="00135EC1"/>
    <w:rsid w:val="0013613D"/>
    <w:rsid w:val="001365A9"/>
    <w:rsid w:val="0013679E"/>
    <w:rsid w:val="00136B32"/>
    <w:rsid w:val="00137956"/>
    <w:rsid w:val="00140AE1"/>
    <w:rsid w:val="00140B59"/>
    <w:rsid w:val="00141C9C"/>
    <w:rsid w:val="00141D26"/>
    <w:rsid w:val="00142490"/>
    <w:rsid w:val="0014259E"/>
    <w:rsid w:val="0014263B"/>
    <w:rsid w:val="00142BF7"/>
    <w:rsid w:val="00142FD7"/>
    <w:rsid w:val="001430D3"/>
    <w:rsid w:val="001430D7"/>
    <w:rsid w:val="00143294"/>
    <w:rsid w:val="001439CD"/>
    <w:rsid w:val="00143B99"/>
    <w:rsid w:val="00144319"/>
    <w:rsid w:val="00144C89"/>
    <w:rsid w:val="00144E83"/>
    <w:rsid w:val="00145B1E"/>
    <w:rsid w:val="00145D7E"/>
    <w:rsid w:val="0014607C"/>
    <w:rsid w:val="001467FC"/>
    <w:rsid w:val="00146D8A"/>
    <w:rsid w:val="00147260"/>
    <w:rsid w:val="00147370"/>
    <w:rsid w:val="00147918"/>
    <w:rsid w:val="00147BBF"/>
    <w:rsid w:val="00147E7D"/>
    <w:rsid w:val="0015065D"/>
    <w:rsid w:val="00150B78"/>
    <w:rsid w:val="00150DAA"/>
    <w:rsid w:val="00150E86"/>
    <w:rsid w:val="00150FA9"/>
    <w:rsid w:val="0015101A"/>
    <w:rsid w:val="00151454"/>
    <w:rsid w:val="00151706"/>
    <w:rsid w:val="00152487"/>
    <w:rsid w:val="00152C0E"/>
    <w:rsid w:val="00153FAF"/>
    <w:rsid w:val="00155617"/>
    <w:rsid w:val="00155C1F"/>
    <w:rsid w:val="0016023C"/>
    <w:rsid w:val="00160505"/>
    <w:rsid w:val="00160C4E"/>
    <w:rsid w:val="00160CB0"/>
    <w:rsid w:val="001610A7"/>
    <w:rsid w:val="00161B81"/>
    <w:rsid w:val="00161B98"/>
    <w:rsid w:val="00161EFA"/>
    <w:rsid w:val="00162254"/>
    <w:rsid w:val="0016266C"/>
    <w:rsid w:val="0016356D"/>
    <w:rsid w:val="0016382B"/>
    <w:rsid w:val="00163831"/>
    <w:rsid w:val="00163B33"/>
    <w:rsid w:val="00163F7D"/>
    <w:rsid w:val="0016406C"/>
    <w:rsid w:val="00164816"/>
    <w:rsid w:val="00165176"/>
    <w:rsid w:val="001654A3"/>
    <w:rsid w:val="001655AF"/>
    <w:rsid w:val="0016584D"/>
    <w:rsid w:val="00165B81"/>
    <w:rsid w:val="0016632A"/>
    <w:rsid w:val="001663B6"/>
    <w:rsid w:val="00166D9C"/>
    <w:rsid w:val="001672CD"/>
    <w:rsid w:val="0016791D"/>
    <w:rsid w:val="00167B15"/>
    <w:rsid w:val="00167EBA"/>
    <w:rsid w:val="00170446"/>
    <w:rsid w:val="00170619"/>
    <w:rsid w:val="00170D7D"/>
    <w:rsid w:val="00170DFD"/>
    <w:rsid w:val="0017136D"/>
    <w:rsid w:val="00171A13"/>
    <w:rsid w:val="00171EBB"/>
    <w:rsid w:val="001724FA"/>
    <w:rsid w:val="00172596"/>
    <w:rsid w:val="001728F1"/>
    <w:rsid w:val="00172CE7"/>
    <w:rsid w:val="00172D8B"/>
    <w:rsid w:val="00172F17"/>
    <w:rsid w:val="00173550"/>
    <w:rsid w:val="0017445D"/>
    <w:rsid w:val="001746C1"/>
    <w:rsid w:val="00174C47"/>
    <w:rsid w:val="00174E8E"/>
    <w:rsid w:val="001750AC"/>
    <w:rsid w:val="001755A7"/>
    <w:rsid w:val="0017586D"/>
    <w:rsid w:val="001761E3"/>
    <w:rsid w:val="00176576"/>
    <w:rsid w:val="00177013"/>
    <w:rsid w:val="0017706F"/>
    <w:rsid w:val="0017780D"/>
    <w:rsid w:val="00180C94"/>
    <w:rsid w:val="00181386"/>
    <w:rsid w:val="0018156F"/>
    <w:rsid w:val="001822F3"/>
    <w:rsid w:val="0018336F"/>
    <w:rsid w:val="0018366B"/>
    <w:rsid w:val="00184C24"/>
    <w:rsid w:val="001851E4"/>
    <w:rsid w:val="0018615C"/>
    <w:rsid w:val="0018638D"/>
    <w:rsid w:val="00186831"/>
    <w:rsid w:val="0018684B"/>
    <w:rsid w:val="00187055"/>
    <w:rsid w:val="00187CB8"/>
    <w:rsid w:val="00190263"/>
    <w:rsid w:val="00190422"/>
    <w:rsid w:val="0019045B"/>
    <w:rsid w:val="00190791"/>
    <w:rsid w:val="0019095D"/>
    <w:rsid w:val="00190B9D"/>
    <w:rsid w:val="00190EFA"/>
    <w:rsid w:val="001918D6"/>
    <w:rsid w:val="00191B00"/>
    <w:rsid w:val="00192692"/>
    <w:rsid w:val="00192738"/>
    <w:rsid w:val="00193E28"/>
    <w:rsid w:val="00193FA4"/>
    <w:rsid w:val="00194500"/>
    <w:rsid w:val="00194C0A"/>
    <w:rsid w:val="00195380"/>
    <w:rsid w:val="001954C6"/>
    <w:rsid w:val="00195541"/>
    <w:rsid w:val="00195ACA"/>
    <w:rsid w:val="00195C33"/>
    <w:rsid w:val="00196145"/>
    <w:rsid w:val="001961CE"/>
    <w:rsid w:val="0019624F"/>
    <w:rsid w:val="001962F3"/>
    <w:rsid w:val="0019719D"/>
    <w:rsid w:val="001971EE"/>
    <w:rsid w:val="001977D8"/>
    <w:rsid w:val="001A0937"/>
    <w:rsid w:val="001A0BDF"/>
    <w:rsid w:val="001A0D0B"/>
    <w:rsid w:val="001A0FB6"/>
    <w:rsid w:val="001A28AE"/>
    <w:rsid w:val="001A33B6"/>
    <w:rsid w:val="001A37E0"/>
    <w:rsid w:val="001A53E9"/>
    <w:rsid w:val="001A5F2A"/>
    <w:rsid w:val="001A646C"/>
    <w:rsid w:val="001A6858"/>
    <w:rsid w:val="001A6DC0"/>
    <w:rsid w:val="001A6E0F"/>
    <w:rsid w:val="001A6F87"/>
    <w:rsid w:val="001A744E"/>
    <w:rsid w:val="001A74B6"/>
    <w:rsid w:val="001B0477"/>
    <w:rsid w:val="001B06DD"/>
    <w:rsid w:val="001B0A95"/>
    <w:rsid w:val="001B1201"/>
    <w:rsid w:val="001B12A8"/>
    <w:rsid w:val="001B18AB"/>
    <w:rsid w:val="001B1ECD"/>
    <w:rsid w:val="001B2043"/>
    <w:rsid w:val="001B24F4"/>
    <w:rsid w:val="001B38D1"/>
    <w:rsid w:val="001B3B9B"/>
    <w:rsid w:val="001B4051"/>
    <w:rsid w:val="001B4098"/>
    <w:rsid w:val="001B4D02"/>
    <w:rsid w:val="001B4E1C"/>
    <w:rsid w:val="001B5496"/>
    <w:rsid w:val="001B5544"/>
    <w:rsid w:val="001B5B60"/>
    <w:rsid w:val="001B6309"/>
    <w:rsid w:val="001B690C"/>
    <w:rsid w:val="001B6A16"/>
    <w:rsid w:val="001B6AAA"/>
    <w:rsid w:val="001B6BB0"/>
    <w:rsid w:val="001B6DBD"/>
    <w:rsid w:val="001B6DF6"/>
    <w:rsid w:val="001C0178"/>
    <w:rsid w:val="001C0AAB"/>
    <w:rsid w:val="001C11BC"/>
    <w:rsid w:val="001C1D64"/>
    <w:rsid w:val="001C1E13"/>
    <w:rsid w:val="001C1FB7"/>
    <w:rsid w:val="001C3B64"/>
    <w:rsid w:val="001C3E83"/>
    <w:rsid w:val="001C4689"/>
    <w:rsid w:val="001C471E"/>
    <w:rsid w:val="001C512A"/>
    <w:rsid w:val="001C5EFF"/>
    <w:rsid w:val="001C70A2"/>
    <w:rsid w:val="001C734D"/>
    <w:rsid w:val="001C7BCA"/>
    <w:rsid w:val="001C7E10"/>
    <w:rsid w:val="001D046F"/>
    <w:rsid w:val="001D0623"/>
    <w:rsid w:val="001D0797"/>
    <w:rsid w:val="001D0BEA"/>
    <w:rsid w:val="001D1E19"/>
    <w:rsid w:val="001D1FF1"/>
    <w:rsid w:val="001D3050"/>
    <w:rsid w:val="001D3404"/>
    <w:rsid w:val="001D38E6"/>
    <w:rsid w:val="001D3947"/>
    <w:rsid w:val="001D4FB3"/>
    <w:rsid w:val="001D506B"/>
    <w:rsid w:val="001D519E"/>
    <w:rsid w:val="001D5474"/>
    <w:rsid w:val="001D617F"/>
    <w:rsid w:val="001D6E15"/>
    <w:rsid w:val="001D6E79"/>
    <w:rsid w:val="001D721E"/>
    <w:rsid w:val="001E1A59"/>
    <w:rsid w:val="001E1CB8"/>
    <w:rsid w:val="001E2331"/>
    <w:rsid w:val="001E25E9"/>
    <w:rsid w:val="001E33BA"/>
    <w:rsid w:val="001E3580"/>
    <w:rsid w:val="001E37E5"/>
    <w:rsid w:val="001E4F4D"/>
    <w:rsid w:val="001E5749"/>
    <w:rsid w:val="001E604D"/>
    <w:rsid w:val="001E71EE"/>
    <w:rsid w:val="001E72BA"/>
    <w:rsid w:val="001E770D"/>
    <w:rsid w:val="001E7727"/>
    <w:rsid w:val="001F02BD"/>
    <w:rsid w:val="001F086E"/>
    <w:rsid w:val="001F0EF3"/>
    <w:rsid w:val="001F0FA0"/>
    <w:rsid w:val="001F146B"/>
    <w:rsid w:val="001F1B2E"/>
    <w:rsid w:val="001F1C8D"/>
    <w:rsid w:val="001F1DAC"/>
    <w:rsid w:val="001F1FD7"/>
    <w:rsid w:val="001F292B"/>
    <w:rsid w:val="001F3314"/>
    <w:rsid w:val="001F374A"/>
    <w:rsid w:val="001F3855"/>
    <w:rsid w:val="001F3BA8"/>
    <w:rsid w:val="001F437D"/>
    <w:rsid w:val="001F4820"/>
    <w:rsid w:val="001F4855"/>
    <w:rsid w:val="001F4A9B"/>
    <w:rsid w:val="001F4E8E"/>
    <w:rsid w:val="001F4EDA"/>
    <w:rsid w:val="001F502E"/>
    <w:rsid w:val="001F5052"/>
    <w:rsid w:val="001F5FE9"/>
    <w:rsid w:val="001F6797"/>
    <w:rsid w:val="001F7170"/>
    <w:rsid w:val="001F736D"/>
    <w:rsid w:val="002000B5"/>
    <w:rsid w:val="00200CB7"/>
    <w:rsid w:val="00201354"/>
    <w:rsid w:val="0020138C"/>
    <w:rsid w:val="00202D34"/>
    <w:rsid w:val="00203887"/>
    <w:rsid w:val="002038F3"/>
    <w:rsid w:val="00203B9C"/>
    <w:rsid w:val="00203BE4"/>
    <w:rsid w:val="002041C7"/>
    <w:rsid w:val="002049A4"/>
    <w:rsid w:val="002049AE"/>
    <w:rsid w:val="002058B9"/>
    <w:rsid w:val="00205D3C"/>
    <w:rsid w:val="002060B2"/>
    <w:rsid w:val="002062E1"/>
    <w:rsid w:val="002063C1"/>
    <w:rsid w:val="00207D7D"/>
    <w:rsid w:val="00207E99"/>
    <w:rsid w:val="00210190"/>
    <w:rsid w:val="00210726"/>
    <w:rsid w:val="00210781"/>
    <w:rsid w:val="00212531"/>
    <w:rsid w:val="00213639"/>
    <w:rsid w:val="002137DE"/>
    <w:rsid w:val="00214563"/>
    <w:rsid w:val="00214CCB"/>
    <w:rsid w:val="00214E60"/>
    <w:rsid w:val="00215151"/>
    <w:rsid w:val="002152DB"/>
    <w:rsid w:val="00215B08"/>
    <w:rsid w:val="00215E75"/>
    <w:rsid w:val="00216328"/>
    <w:rsid w:val="00216628"/>
    <w:rsid w:val="002167B3"/>
    <w:rsid w:val="00216C69"/>
    <w:rsid w:val="00216D15"/>
    <w:rsid w:val="00216FCA"/>
    <w:rsid w:val="0021736B"/>
    <w:rsid w:val="002178B1"/>
    <w:rsid w:val="00217F9A"/>
    <w:rsid w:val="00220FE8"/>
    <w:rsid w:val="00221114"/>
    <w:rsid w:val="00221EFC"/>
    <w:rsid w:val="00222786"/>
    <w:rsid w:val="00223A19"/>
    <w:rsid w:val="0022493A"/>
    <w:rsid w:val="00224F6D"/>
    <w:rsid w:val="00225182"/>
    <w:rsid w:val="00225729"/>
    <w:rsid w:val="00225DBB"/>
    <w:rsid w:val="00225E22"/>
    <w:rsid w:val="00226213"/>
    <w:rsid w:val="00226705"/>
    <w:rsid w:val="00226C15"/>
    <w:rsid w:val="00227AE1"/>
    <w:rsid w:val="00230217"/>
    <w:rsid w:val="002304D4"/>
    <w:rsid w:val="00230A4B"/>
    <w:rsid w:val="00230B42"/>
    <w:rsid w:val="002311C9"/>
    <w:rsid w:val="002314A2"/>
    <w:rsid w:val="0023172C"/>
    <w:rsid w:val="00232620"/>
    <w:rsid w:val="00232661"/>
    <w:rsid w:val="00232887"/>
    <w:rsid w:val="00232C80"/>
    <w:rsid w:val="00232CF6"/>
    <w:rsid w:val="0023333D"/>
    <w:rsid w:val="00233576"/>
    <w:rsid w:val="0023481F"/>
    <w:rsid w:val="002351D3"/>
    <w:rsid w:val="00237191"/>
    <w:rsid w:val="00237258"/>
    <w:rsid w:val="002374FC"/>
    <w:rsid w:val="00237947"/>
    <w:rsid w:val="00237FB8"/>
    <w:rsid w:val="002402C9"/>
    <w:rsid w:val="00240535"/>
    <w:rsid w:val="00240AA8"/>
    <w:rsid w:val="00242747"/>
    <w:rsid w:val="00243464"/>
    <w:rsid w:val="0024373F"/>
    <w:rsid w:val="0024397A"/>
    <w:rsid w:val="00244556"/>
    <w:rsid w:val="00244746"/>
    <w:rsid w:val="00244940"/>
    <w:rsid w:val="00245D2F"/>
    <w:rsid w:val="002463D0"/>
    <w:rsid w:val="00247165"/>
    <w:rsid w:val="0024778E"/>
    <w:rsid w:val="002477CE"/>
    <w:rsid w:val="00247A5B"/>
    <w:rsid w:val="00247AB0"/>
    <w:rsid w:val="00247D53"/>
    <w:rsid w:val="00250235"/>
    <w:rsid w:val="00250E53"/>
    <w:rsid w:val="002517FD"/>
    <w:rsid w:val="002519DB"/>
    <w:rsid w:val="00251C75"/>
    <w:rsid w:val="00252385"/>
    <w:rsid w:val="00253527"/>
    <w:rsid w:val="00253748"/>
    <w:rsid w:val="00253AB9"/>
    <w:rsid w:val="00253E3B"/>
    <w:rsid w:val="00253E96"/>
    <w:rsid w:val="0025403E"/>
    <w:rsid w:val="002540DC"/>
    <w:rsid w:val="00254362"/>
    <w:rsid w:val="00254CCD"/>
    <w:rsid w:val="00256027"/>
    <w:rsid w:val="002562EA"/>
    <w:rsid w:val="00257139"/>
    <w:rsid w:val="00257523"/>
    <w:rsid w:val="00257659"/>
    <w:rsid w:val="0025768A"/>
    <w:rsid w:val="00257906"/>
    <w:rsid w:val="00257AFA"/>
    <w:rsid w:val="00260BC4"/>
    <w:rsid w:val="00260DEB"/>
    <w:rsid w:val="00261791"/>
    <w:rsid w:val="002619A0"/>
    <w:rsid w:val="00261E04"/>
    <w:rsid w:val="00262178"/>
    <w:rsid w:val="0026219E"/>
    <w:rsid w:val="002622F5"/>
    <w:rsid w:val="002637CF"/>
    <w:rsid w:val="00263937"/>
    <w:rsid w:val="0026435E"/>
    <w:rsid w:val="00264592"/>
    <w:rsid w:val="002649D8"/>
    <w:rsid w:val="00264C09"/>
    <w:rsid w:val="002651EC"/>
    <w:rsid w:val="0026544A"/>
    <w:rsid w:val="00266519"/>
    <w:rsid w:val="00266A05"/>
    <w:rsid w:val="00266A51"/>
    <w:rsid w:val="00266F7E"/>
    <w:rsid w:val="002671DB"/>
    <w:rsid w:val="00267493"/>
    <w:rsid w:val="00267993"/>
    <w:rsid w:val="002701F2"/>
    <w:rsid w:val="002709C8"/>
    <w:rsid w:val="00270C8A"/>
    <w:rsid w:val="002713A2"/>
    <w:rsid w:val="00271655"/>
    <w:rsid w:val="00271658"/>
    <w:rsid w:val="002721DA"/>
    <w:rsid w:val="0027229D"/>
    <w:rsid w:val="00272597"/>
    <w:rsid w:val="00273765"/>
    <w:rsid w:val="00273C09"/>
    <w:rsid w:val="00274282"/>
    <w:rsid w:val="00274922"/>
    <w:rsid w:val="00274A94"/>
    <w:rsid w:val="00276530"/>
    <w:rsid w:val="00276871"/>
    <w:rsid w:val="00276E05"/>
    <w:rsid w:val="0027723E"/>
    <w:rsid w:val="00277421"/>
    <w:rsid w:val="0027762F"/>
    <w:rsid w:val="0027767F"/>
    <w:rsid w:val="00277E37"/>
    <w:rsid w:val="00281D58"/>
    <w:rsid w:val="00282318"/>
    <w:rsid w:val="00282C0C"/>
    <w:rsid w:val="0028350E"/>
    <w:rsid w:val="00283642"/>
    <w:rsid w:val="0028395C"/>
    <w:rsid w:val="00284383"/>
    <w:rsid w:val="00284A23"/>
    <w:rsid w:val="002851EB"/>
    <w:rsid w:val="002855C0"/>
    <w:rsid w:val="00286052"/>
    <w:rsid w:val="00286A9E"/>
    <w:rsid w:val="002878D0"/>
    <w:rsid w:val="00287D3C"/>
    <w:rsid w:val="00287EB4"/>
    <w:rsid w:val="0029000F"/>
    <w:rsid w:val="002905B2"/>
    <w:rsid w:val="00290676"/>
    <w:rsid w:val="0029087D"/>
    <w:rsid w:val="002917EA"/>
    <w:rsid w:val="00291D6C"/>
    <w:rsid w:val="0029235E"/>
    <w:rsid w:val="00292503"/>
    <w:rsid w:val="0029359D"/>
    <w:rsid w:val="00293B71"/>
    <w:rsid w:val="00293BB5"/>
    <w:rsid w:val="00293FC2"/>
    <w:rsid w:val="0029430F"/>
    <w:rsid w:val="00294A99"/>
    <w:rsid w:val="00294DF8"/>
    <w:rsid w:val="00294EDB"/>
    <w:rsid w:val="00295570"/>
    <w:rsid w:val="00295DFA"/>
    <w:rsid w:val="0029655A"/>
    <w:rsid w:val="00296B99"/>
    <w:rsid w:val="002978F2"/>
    <w:rsid w:val="002A0068"/>
    <w:rsid w:val="002A02C2"/>
    <w:rsid w:val="002A04BD"/>
    <w:rsid w:val="002A1721"/>
    <w:rsid w:val="002A1A3F"/>
    <w:rsid w:val="002A1AFC"/>
    <w:rsid w:val="002A21DA"/>
    <w:rsid w:val="002A2727"/>
    <w:rsid w:val="002A3D87"/>
    <w:rsid w:val="002A45F6"/>
    <w:rsid w:val="002A4B27"/>
    <w:rsid w:val="002A5309"/>
    <w:rsid w:val="002A56CE"/>
    <w:rsid w:val="002A6154"/>
    <w:rsid w:val="002A6C27"/>
    <w:rsid w:val="002A73B7"/>
    <w:rsid w:val="002A766E"/>
    <w:rsid w:val="002A7A79"/>
    <w:rsid w:val="002A7EC1"/>
    <w:rsid w:val="002B0A56"/>
    <w:rsid w:val="002B0D0C"/>
    <w:rsid w:val="002B1338"/>
    <w:rsid w:val="002B163C"/>
    <w:rsid w:val="002B1846"/>
    <w:rsid w:val="002B1BD2"/>
    <w:rsid w:val="002B2073"/>
    <w:rsid w:val="002B216C"/>
    <w:rsid w:val="002B2746"/>
    <w:rsid w:val="002B3A9B"/>
    <w:rsid w:val="002B3E33"/>
    <w:rsid w:val="002B3FF3"/>
    <w:rsid w:val="002B41FD"/>
    <w:rsid w:val="002B4522"/>
    <w:rsid w:val="002B519B"/>
    <w:rsid w:val="002B5436"/>
    <w:rsid w:val="002B6259"/>
    <w:rsid w:val="002B6648"/>
    <w:rsid w:val="002B676A"/>
    <w:rsid w:val="002B68D7"/>
    <w:rsid w:val="002B6E7B"/>
    <w:rsid w:val="002B7C1D"/>
    <w:rsid w:val="002B7DC0"/>
    <w:rsid w:val="002C09A5"/>
    <w:rsid w:val="002C144C"/>
    <w:rsid w:val="002C1B3D"/>
    <w:rsid w:val="002C1FE2"/>
    <w:rsid w:val="002C2134"/>
    <w:rsid w:val="002C26C9"/>
    <w:rsid w:val="002C27F2"/>
    <w:rsid w:val="002C2804"/>
    <w:rsid w:val="002C295A"/>
    <w:rsid w:val="002C2CC4"/>
    <w:rsid w:val="002C3239"/>
    <w:rsid w:val="002C33C9"/>
    <w:rsid w:val="002C50D8"/>
    <w:rsid w:val="002C5140"/>
    <w:rsid w:val="002C57A8"/>
    <w:rsid w:val="002C5A52"/>
    <w:rsid w:val="002C5AC8"/>
    <w:rsid w:val="002C61A4"/>
    <w:rsid w:val="002C6709"/>
    <w:rsid w:val="002C6E73"/>
    <w:rsid w:val="002C6F06"/>
    <w:rsid w:val="002C73EA"/>
    <w:rsid w:val="002C7764"/>
    <w:rsid w:val="002C7C57"/>
    <w:rsid w:val="002D0245"/>
    <w:rsid w:val="002D0260"/>
    <w:rsid w:val="002D0682"/>
    <w:rsid w:val="002D08AF"/>
    <w:rsid w:val="002D0E94"/>
    <w:rsid w:val="002D11B3"/>
    <w:rsid w:val="002D1D0A"/>
    <w:rsid w:val="002D26EE"/>
    <w:rsid w:val="002D2733"/>
    <w:rsid w:val="002D2B35"/>
    <w:rsid w:val="002D30BA"/>
    <w:rsid w:val="002D3F19"/>
    <w:rsid w:val="002D44DD"/>
    <w:rsid w:val="002D56D2"/>
    <w:rsid w:val="002D5924"/>
    <w:rsid w:val="002D5DF1"/>
    <w:rsid w:val="002D6D8F"/>
    <w:rsid w:val="002D6F44"/>
    <w:rsid w:val="002D74E3"/>
    <w:rsid w:val="002D7B89"/>
    <w:rsid w:val="002E01BF"/>
    <w:rsid w:val="002E01FE"/>
    <w:rsid w:val="002E0A1C"/>
    <w:rsid w:val="002E0AD8"/>
    <w:rsid w:val="002E0B5A"/>
    <w:rsid w:val="002E112C"/>
    <w:rsid w:val="002E11AD"/>
    <w:rsid w:val="002E1699"/>
    <w:rsid w:val="002E19B9"/>
    <w:rsid w:val="002E1B70"/>
    <w:rsid w:val="002E2567"/>
    <w:rsid w:val="002E2905"/>
    <w:rsid w:val="002E2D7E"/>
    <w:rsid w:val="002E3B6D"/>
    <w:rsid w:val="002E3EC5"/>
    <w:rsid w:val="002E4B89"/>
    <w:rsid w:val="002E6B58"/>
    <w:rsid w:val="002E6DF7"/>
    <w:rsid w:val="002E6E53"/>
    <w:rsid w:val="002E6FA8"/>
    <w:rsid w:val="002E7211"/>
    <w:rsid w:val="002E7274"/>
    <w:rsid w:val="002F006D"/>
    <w:rsid w:val="002F0822"/>
    <w:rsid w:val="002F1ACC"/>
    <w:rsid w:val="002F1BC9"/>
    <w:rsid w:val="002F1EDE"/>
    <w:rsid w:val="002F2189"/>
    <w:rsid w:val="002F27FF"/>
    <w:rsid w:val="002F2D16"/>
    <w:rsid w:val="002F30B2"/>
    <w:rsid w:val="002F33EE"/>
    <w:rsid w:val="002F352E"/>
    <w:rsid w:val="002F36C4"/>
    <w:rsid w:val="002F3A41"/>
    <w:rsid w:val="002F42F5"/>
    <w:rsid w:val="002F4376"/>
    <w:rsid w:val="002F43AA"/>
    <w:rsid w:val="002F480C"/>
    <w:rsid w:val="002F4A82"/>
    <w:rsid w:val="002F54B9"/>
    <w:rsid w:val="002F54F8"/>
    <w:rsid w:val="002F5B01"/>
    <w:rsid w:val="002F5BC4"/>
    <w:rsid w:val="002F5E1D"/>
    <w:rsid w:val="002F5EE3"/>
    <w:rsid w:val="002F6420"/>
    <w:rsid w:val="002F70DA"/>
    <w:rsid w:val="002F710A"/>
    <w:rsid w:val="00300A46"/>
    <w:rsid w:val="00300E7D"/>
    <w:rsid w:val="003010EB"/>
    <w:rsid w:val="00301353"/>
    <w:rsid w:val="0030195C"/>
    <w:rsid w:val="00301C7B"/>
    <w:rsid w:val="00302B3F"/>
    <w:rsid w:val="00302FBC"/>
    <w:rsid w:val="00303685"/>
    <w:rsid w:val="00303D1C"/>
    <w:rsid w:val="00306AF2"/>
    <w:rsid w:val="00306E5B"/>
    <w:rsid w:val="00306ED0"/>
    <w:rsid w:val="00307350"/>
    <w:rsid w:val="0031010A"/>
    <w:rsid w:val="0031071F"/>
    <w:rsid w:val="00310A03"/>
    <w:rsid w:val="00310F86"/>
    <w:rsid w:val="00310FDC"/>
    <w:rsid w:val="00311789"/>
    <w:rsid w:val="00311941"/>
    <w:rsid w:val="0031215A"/>
    <w:rsid w:val="00312250"/>
    <w:rsid w:val="00312961"/>
    <w:rsid w:val="00312F04"/>
    <w:rsid w:val="0031321E"/>
    <w:rsid w:val="003132E6"/>
    <w:rsid w:val="0031403A"/>
    <w:rsid w:val="003146E9"/>
    <w:rsid w:val="00314E9B"/>
    <w:rsid w:val="003152D3"/>
    <w:rsid w:val="0031557B"/>
    <w:rsid w:val="00315647"/>
    <w:rsid w:val="00315B56"/>
    <w:rsid w:val="00316441"/>
    <w:rsid w:val="00316AC4"/>
    <w:rsid w:val="003170FB"/>
    <w:rsid w:val="00317E2D"/>
    <w:rsid w:val="003204A1"/>
    <w:rsid w:val="003205F8"/>
    <w:rsid w:val="003213B2"/>
    <w:rsid w:val="003218B5"/>
    <w:rsid w:val="003225F3"/>
    <w:rsid w:val="00322649"/>
    <w:rsid w:val="003228D5"/>
    <w:rsid w:val="00322A4E"/>
    <w:rsid w:val="00323108"/>
    <w:rsid w:val="00323897"/>
    <w:rsid w:val="00323C83"/>
    <w:rsid w:val="00323FE5"/>
    <w:rsid w:val="0032406C"/>
    <w:rsid w:val="00324216"/>
    <w:rsid w:val="0032434D"/>
    <w:rsid w:val="00324515"/>
    <w:rsid w:val="00324905"/>
    <w:rsid w:val="00325094"/>
    <w:rsid w:val="003252A2"/>
    <w:rsid w:val="003253C4"/>
    <w:rsid w:val="00325B54"/>
    <w:rsid w:val="003266C6"/>
    <w:rsid w:val="00326959"/>
    <w:rsid w:val="00326990"/>
    <w:rsid w:val="00326A66"/>
    <w:rsid w:val="0032765C"/>
    <w:rsid w:val="00327B0F"/>
    <w:rsid w:val="00327F52"/>
    <w:rsid w:val="003316D5"/>
    <w:rsid w:val="003316F2"/>
    <w:rsid w:val="00331F07"/>
    <w:rsid w:val="0033243C"/>
    <w:rsid w:val="00333889"/>
    <w:rsid w:val="00334978"/>
    <w:rsid w:val="00334C38"/>
    <w:rsid w:val="00335726"/>
    <w:rsid w:val="0033637C"/>
    <w:rsid w:val="003363D8"/>
    <w:rsid w:val="0033641F"/>
    <w:rsid w:val="00336677"/>
    <w:rsid w:val="003366FE"/>
    <w:rsid w:val="00337431"/>
    <w:rsid w:val="00337BFF"/>
    <w:rsid w:val="00337D24"/>
    <w:rsid w:val="003404FF"/>
    <w:rsid w:val="0034085D"/>
    <w:rsid w:val="00340881"/>
    <w:rsid w:val="00341C50"/>
    <w:rsid w:val="00343C11"/>
    <w:rsid w:val="003440D8"/>
    <w:rsid w:val="003442EE"/>
    <w:rsid w:val="003443B6"/>
    <w:rsid w:val="003445FA"/>
    <w:rsid w:val="00344D33"/>
    <w:rsid w:val="0034517E"/>
    <w:rsid w:val="00345BAC"/>
    <w:rsid w:val="00345BE3"/>
    <w:rsid w:val="003469B7"/>
    <w:rsid w:val="0035062A"/>
    <w:rsid w:val="0035068A"/>
    <w:rsid w:val="003508CB"/>
    <w:rsid w:val="00350EA4"/>
    <w:rsid w:val="00351114"/>
    <w:rsid w:val="003513EB"/>
    <w:rsid w:val="00351961"/>
    <w:rsid w:val="00351994"/>
    <w:rsid w:val="0035280E"/>
    <w:rsid w:val="003533EC"/>
    <w:rsid w:val="00354116"/>
    <w:rsid w:val="00354510"/>
    <w:rsid w:val="003558E5"/>
    <w:rsid w:val="00355A9F"/>
    <w:rsid w:val="00355B08"/>
    <w:rsid w:val="003565F8"/>
    <w:rsid w:val="00356729"/>
    <w:rsid w:val="00356B0A"/>
    <w:rsid w:val="00360341"/>
    <w:rsid w:val="003606DF"/>
    <w:rsid w:val="00360734"/>
    <w:rsid w:val="00361104"/>
    <w:rsid w:val="0036151C"/>
    <w:rsid w:val="003621C5"/>
    <w:rsid w:val="00362336"/>
    <w:rsid w:val="00362F25"/>
    <w:rsid w:val="00363612"/>
    <w:rsid w:val="003640DA"/>
    <w:rsid w:val="00364202"/>
    <w:rsid w:val="003642AB"/>
    <w:rsid w:val="00365173"/>
    <w:rsid w:val="00365C70"/>
    <w:rsid w:val="00365E0C"/>
    <w:rsid w:val="00365F70"/>
    <w:rsid w:val="00366A86"/>
    <w:rsid w:val="00366FC1"/>
    <w:rsid w:val="003675A7"/>
    <w:rsid w:val="00367906"/>
    <w:rsid w:val="00367E09"/>
    <w:rsid w:val="0037006F"/>
    <w:rsid w:val="00370460"/>
    <w:rsid w:val="00370491"/>
    <w:rsid w:val="00370757"/>
    <w:rsid w:val="00370A4B"/>
    <w:rsid w:val="00370D19"/>
    <w:rsid w:val="00370E34"/>
    <w:rsid w:val="00370E93"/>
    <w:rsid w:val="003712CA"/>
    <w:rsid w:val="00371644"/>
    <w:rsid w:val="00371DCF"/>
    <w:rsid w:val="003723BC"/>
    <w:rsid w:val="003723C8"/>
    <w:rsid w:val="00372D90"/>
    <w:rsid w:val="0037339F"/>
    <w:rsid w:val="003739E4"/>
    <w:rsid w:val="0037419B"/>
    <w:rsid w:val="00374260"/>
    <w:rsid w:val="00374393"/>
    <w:rsid w:val="00374439"/>
    <w:rsid w:val="00374780"/>
    <w:rsid w:val="003747B7"/>
    <w:rsid w:val="00374F8A"/>
    <w:rsid w:val="00375645"/>
    <w:rsid w:val="00375820"/>
    <w:rsid w:val="003765D4"/>
    <w:rsid w:val="00376631"/>
    <w:rsid w:val="0037676C"/>
    <w:rsid w:val="003769D6"/>
    <w:rsid w:val="00377AA6"/>
    <w:rsid w:val="00377B10"/>
    <w:rsid w:val="00380344"/>
    <w:rsid w:val="003807F5"/>
    <w:rsid w:val="00380A6A"/>
    <w:rsid w:val="00380E7F"/>
    <w:rsid w:val="0038111D"/>
    <w:rsid w:val="0038148F"/>
    <w:rsid w:val="00381AA8"/>
    <w:rsid w:val="00381DBE"/>
    <w:rsid w:val="003821CA"/>
    <w:rsid w:val="00382BCD"/>
    <w:rsid w:val="00382C27"/>
    <w:rsid w:val="00382D39"/>
    <w:rsid w:val="00383A0B"/>
    <w:rsid w:val="00384576"/>
    <w:rsid w:val="003848A9"/>
    <w:rsid w:val="00384D89"/>
    <w:rsid w:val="0038536F"/>
    <w:rsid w:val="003858B2"/>
    <w:rsid w:val="00385990"/>
    <w:rsid w:val="00385EC7"/>
    <w:rsid w:val="00386363"/>
    <w:rsid w:val="00386697"/>
    <w:rsid w:val="003867AC"/>
    <w:rsid w:val="00386B77"/>
    <w:rsid w:val="00386BE5"/>
    <w:rsid w:val="00387F07"/>
    <w:rsid w:val="00390504"/>
    <w:rsid w:val="0039077A"/>
    <w:rsid w:val="0039288E"/>
    <w:rsid w:val="00392C33"/>
    <w:rsid w:val="00392C8A"/>
    <w:rsid w:val="00392D71"/>
    <w:rsid w:val="00392DD0"/>
    <w:rsid w:val="00392E0B"/>
    <w:rsid w:val="00392F16"/>
    <w:rsid w:val="00393495"/>
    <w:rsid w:val="003935C5"/>
    <w:rsid w:val="00393A94"/>
    <w:rsid w:val="0039427E"/>
    <w:rsid w:val="0039465D"/>
    <w:rsid w:val="00394B34"/>
    <w:rsid w:val="00395F52"/>
    <w:rsid w:val="00396030"/>
    <w:rsid w:val="003963FA"/>
    <w:rsid w:val="0039676E"/>
    <w:rsid w:val="0039713A"/>
    <w:rsid w:val="00397635"/>
    <w:rsid w:val="003A0204"/>
    <w:rsid w:val="003A0336"/>
    <w:rsid w:val="003A0A50"/>
    <w:rsid w:val="003A0CB8"/>
    <w:rsid w:val="003A0EEC"/>
    <w:rsid w:val="003A16A4"/>
    <w:rsid w:val="003A17B1"/>
    <w:rsid w:val="003A1919"/>
    <w:rsid w:val="003A2580"/>
    <w:rsid w:val="003A2817"/>
    <w:rsid w:val="003A2935"/>
    <w:rsid w:val="003A29DA"/>
    <w:rsid w:val="003A2A2E"/>
    <w:rsid w:val="003A33A4"/>
    <w:rsid w:val="003A3667"/>
    <w:rsid w:val="003A57F1"/>
    <w:rsid w:val="003A5BC1"/>
    <w:rsid w:val="003A5C94"/>
    <w:rsid w:val="003A6189"/>
    <w:rsid w:val="003A66B2"/>
    <w:rsid w:val="003A6E1B"/>
    <w:rsid w:val="003A701E"/>
    <w:rsid w:val="003A72A2"/>
    <w:rsid w:val="003A7A88"/>
    <w:rsid w:val="003A7DE6"/>
    <w:rsid w:val="003B0439"/>
    <w:rsid w:val="003B111B"/>
    <w:rsid w:val="003B1648"/>
    <w:rsid w:val="003B188C"/>
    <w:rsid w:val="003B1E71"/>
    <w:rsid w:val="003B1FDE"/>
    <w:rsid w:val="003B23A6"/>
    <w:rsid w:val="003B2794"/>
    <w:rsid w:val="003B288B"/>
    <w:rsid w:val="003B3E63"/>
    <w:rsid w:val="003B40B6"/>
    <w:rsid w:val="003B4331"/>
    <w:rsid w:val="003B460A"/>
    <w:rsid w:val="003B4CBD"/>
    <w:rsid w:val="003B4D8C"/>
    <w:rsid w:val="003B5276"/>
    <w:rsid w:val="003B5A5E"/>
    <w:rsid w:val="003B5D83"/>
    <w:rsid w:val="003B6352"/>
    <w:rsid w:val="003B7C32"/>
    <w:rsid w:val="003B7D8A"/>
    <w:rsid w:val="003C09DB"/>
    <w:rsid w:val="003C107F"/>
    <w:rsid w:val="003C1394"/>
    <w:rsid w:val="003C13D1"/>
    <w:rsid w:val="003C1F3F"/>
    <w:rsid w:val="003C1FEF"/>
    <w:rsid w:val="003C2E1F"/>
    <w:rsid w:val="003C31F3"/>
    <w:rsid w:val="003C3519"/>
    <w:rsid w:val="003C3D83"/>
    <w:rsid w:val="003C3DC0"/>
    <w:rsid w:val="003C4439"/>
    <w:rsid w:val="003C4D04"/>
    <w:rsid w:val="003C4F90"/>
    <w:rsid w:val="003C6134"/>
    <w:rsid w:val="003C61E2"/>
    <w:rsid w:val="003C6406"/>
    <w:rsid w:val="003C6681"/>
    <w:rsid w:val="003C6A32"/>
    <w:rsid w:val="003C6E00"/>
    <w:rsid w:val="003C6FF1"/>
    <w:rsid w:val="003C7C96"/>
    <w:rsid w:val="003C7D05"/>
    <w:rsid w:val="003C7DF2"/>
    <w:rsid w:val="003D1724"/>
    <w:rsid w:val="003D1E21"/>
    <w:rsid w:val="003D22A4"/>
    <w:rsid w:val="003D2E8B"/>
    <w:rsid w:val="003D2FBA"/>
    <w:rsid w:val="003D30EF"/>
    <w:rsid w:val="003D3A59"/>
    <w:rsid w:val="003D3AB3"/>
    <w:rsid w:val="003D3CD2"/>
    <w:rsid w:val="003D465B"/>
    <w:rsid w:val="003D4A07"/>
    <w:rsid w:val="003D4E13"/>
    <w:rsid w:val="003D571A"/>
    <w:rsid w:val="003D5A0D"/>
    <w:rsid w:val="003D5C9A"/>
    <w:rsid w:val="003D6668"/>
    <w:rsid w:val="003D71C5"/>
    <w:rsid w:val="003D736B"/>
    <w:rsid w:val="003D7AB3"/>
    <w:rsid w:val="003D7C7B"/>
    <w:rsid w:val="003E0246"/>
    <w:rsid w:val="003E02C4"/>
    <w:rsid w:val="003E0863"/>
    <w:rsid w:val="003E0C98"/>
    <w:rsid w:val="003E326C"/>
    <w:rsid w:val="003E37D9"/>
    <w:rsid w:val="003E3AD1"/>
    <w:rsid w:val="003E3B52"/>
    <w:rsid w:val="003E3D2C"/>
    <w:rsid w:val="003E51D9"/>
    <w:rsid w:val="003E6327"/>
    <w:rsid w:val="003E68A6"/>
    <w:rsid w:val="003E6B49"/>
    <w:rsid w:val="003E6E59"/>
    <w:rsid w:val="003E6F98"/>
    <w:rsid w:val="003E7221"/>
    <w:rsid w:val="003E7C3C"/>
    <w:rsid w:val="003F03E1"/>
    <w:rsid w:val="003F063A"/>
    <w:rsid w:val="003F13FA"/>
    <w:rsid w:val="003F19BA"/>
    <w:rsid w:val="003F1AA1"/>
    <w:rsid w:val="003F2608"/>
    <w:rsid w:val="003F2834"/>
    <w:rsid w:val="003F5298"/>
    <w:rsid w:val="003F52AD"/>
    <w:rsid w:val="003F5511"/>
    <w:rsid w:val="003F562A"/>
    <w:rsid w:val="003F6F2E"/>
    <w:rsid w:val="003F73FE"/>
    <w:rsid w:val="003F740A"/>
    <w:rsid w:val="003F763F"/>
    <w:rsid w:val="003F765B"/>
    <w:rsid w:val="003F7B0B"/>
    <w:rsid w:val="003F7C91"/>
    <w:rsid w:val="003F7D1E"/>
    <w:rsid w:val="00401BE0"/>
    <w:rsid w:val="00401E34"/>
    <w:rsid w:val="00402E96"/>
    <w:rsid w:val="004037F5"/>
    <w:rsid w:val="00403A4E"/>
    <w:rsid w:val="00403BAD"/>
    <w:rsid w:val="00404708"/>
    <w:rsid w:val="00404C7D"/>
    <w:rsid w:val="00404EB2"/>
    <w:rsid w:val="004055F9"/>
    <w:rsid w:val="004056C3"/>
    <w:rsid w:val="00405C16"/>
    <w:rsid w:val="0040609D"/>
    <w:rsid w:val="00406156"/>
    <w:rsid w:val="004062B0"/>
    <w:rsid w:val="00406441"/>
    <w:rsid w:val="0040674C"/>
    <w:rsid w:val="00406DA1"/>
    <w:rsid w:val="004077B6"/>
    <w:rsid w:val="00407EB6"/>
    <w:rsid w:val="00407FCC"/>
    <w:rsid w:val="0041026B"/>
    <w:rsid w:val="00411191"/>
    <w:rsid w:val="00411219"/>
    <w:rsid w:val="00411D14"/>
    <w:rsid w:val="0041221C"/>
    <w:rsid w:val="00412A0D"/>
    <w:rsid w:val="0041331B"/>
    <w:rsid w:val="00413E49"/>
    <w:rsid w:val="00413F19"/>
    <w:rsid w:val="00414DF9"/>
    <w:rsid w:val="00415029"/>
    <w:rsid w:val="0041630F"/>
    <w:rsid w:val="004163A8"/>
    <w:rsid w:val="004163EE"/>
    <w:rsid w:val="00416680"/>
    <w:rsid w:val="0041678E"/>
    <w:rsid w:val="00416894"/>
    <w:rsid w:val="004172AB"/>
    <w:rsid w:val="0041738E"/>
    <w:rsid w:val="00417E47"/>
    <w:rsid w:val="004208AF"/>
    <w:rsid w:val="004214CB"/>
    <w:rsid w:val="00421731"/>
    <w:rsid w:val="00421BEB"/>
    <w:rsid w:val="0042269C"/>
    <w:rsid w:val="00422FF7"/>
    <w:rsid w:val="0042451D"/>
    <w:rsid w:val="00424A78"/>
    <w:rsid w:val="00424FF3"/>
    <w:rsid w:val="00425DF3"/>
    <w:rsid w:val="00425F17"/>
    <w:rsid w:val="00426ECA"/>
    <w:rsid w:val="00427107"/>
    <w:rsid w:val="00427454"/>
    <w:rsid w:val="00427DD7"/>
    <w:rsid w:val="00427F61"/>
    <w:rsid w:val="004307EF"/>
    <w:rsid w:val="004308CF"/>
    <w:rsid w:val="004312C6"/>
    <w:rsid w:val="00431689"/>
    <w:rsid w:val="00431D83"/>
    <w:rsid w:val="004327AB"/>
    <w:rsid w:val="00432A7C"/>
    <w:rsid w:val="00434235"/>
    <w:rsid w:val="0043545C"/>
    <w:rsid w:val="0043596E"/>
    <w:rsid w:val="00435AAB"/>
    <w:rsid w:val="00436CCF"/>
    <w:rsid w:val="00436D2D"/>
    <w:rsid w:val="00437A6B"/>
    <w:rsid w:val="00440096"/>
    <w:rsid w:val="004403E3"/>
    <w:rsid w:val="0044114D"/>
    <w:rsid w:val="0044139A"/>
    <w:rsid w:val="0044151B"/>
    <w:rsid w:val="00442297"/>
    <w:rsid w:val="004423A3"/>
    <w:rsid w:val="00442710"/>
    <w:rsid w:val="0044339B"/>
    <w:rsid w:val="00444EFD"/>
    <w:rsid w:val="0044592F"/>
    <w:rsid w:val="00445DE5"/>
    <w:rsid w:val="004463D6"/>
    <w:rsid w:val="00446BC2"/>
    <w:rsid w:val="00446C7E"/>
    <w:rsid w:val="00446C8C"/>
    <w:rsid w:val="00447269"/>
    <w:rsid w:val="00447588"/>
    <w:rsid w:val="00447A96"/>
    <w:rsid w:val="004509E3"/>
    <w:rsid w:val="00451866"/>
    <w:rsid w:val="00451AC4"/>
    <w:rsid w:val="00451B53"/>
    <w:rsid w:val="00451FF0"/>
    <w:rsid w:val="00452423"/>
    <w:rsid w:val="0045264E"/>
    <w:rsid w:val="004526D3"/>
    <w:rsid w:val="00452ADC"/>
    <w:rsid w:val="00452F20"/>
    <w:rsid w:val="004532C8"/>
    <w:rsid w:val="004532CE"/>
    <w:rsid w:val="00453D01"/>
    <w:rsid w:val="00453FBB"/>
    <w:rsid w:val="00454483"/>
    <w:rsid w:val="004547D6"/>
    <w:rsid w:val="00455501"/>
    <w:rsid w:val="0045571B"/>
    <w:rsid w:val="004562C4"/>
    <w:rsid w:val="00456369"/>
    <w:rsid w:val="0045648A"/>
    <w:rsid w:val="00456B3F"/>
    <w:rsid w:val="00456CEB"/>
    <w:rsid w:val="00457198"/>
    <w:rsid w:val="00460E73"/>
    <w:rsid w:val="00460FA3"/>
    <w:rsid w:val="00461A3E"/>
    <w:rsid w:val="00461B47"/>
    <w:rsid w:val="00461C03"/>
    <w:rsid w:val="00462511"/>
    <w:rsid w:val="00463337"/>
    <w:rsid w:val="004638CE"/>
    <w:rsid w:val="00463B4E"/>
    <w:rsid w:val="00463D41"/>
    <w:rsid w:val="00463F73"/>
    <w:rsid w:val="00464776"/>
    <w:rsid w:val="00464BC2"/>
    <w:rsid w:val="004650B1"/>
    <w:rsid w:val="00465360"/>
    <w:rsid w:val="004655AB"/>
    <w:rsid w:val="00465F05"/>
    <w:rsid w:val="0046731B"/>
    <w:rsid w:val="0046737B"/>
    <w:rsid w:val="00467E9B"/>
    <w:rsid w:val="004703B8"/>
    <w:rsid w:val="00470754"/>
    <w:rsid w:val="004707F6"/>
    <w:rsid w:val="004708B0"/>
    <w:rsid w:val="004727EA"/>
    <w:rsid w:val="0047362F"/>
    <w:rsid w:val="004737B5"/>
    <w:rsid w:val="00474133"/>
    <w:rsid w:val="00474364"/>
    <w:rsid w:val="00474944"/>
    <w:rsid w:val="004749B9"/>
    <w:rsid w:val="004755F6"/>
    <w:rsid w:val="00475840"/>
    <w:rsid w:val="00476404"/>
    <w:rsid w:val="0047643B"/>
    <w:rsid w:val="004764DD"/>
    <w:rsid w:val="00476532"/>
    <w:rsid w:val="00476719"/>
    <w:rsid w:val="004769BD"/>
    <w:rsid w:val="00477E2F"/>
    <w:rsid w:val="00480B63"/>
    <w:rsid w:val="00480C0D"/>
    <w:rsid w:val="0048120C"/>
    <w:rsid w:val="0048166F"/>
    <w:rsid w:val="00481F91"/>
    <w:rsid w:val="00482017"/>
    <w:rsid w:val="0048225E"/>
    <w:rsid w:val="0048253A"/>
    <w:rsid w:val="0048289C"/>
    <w:rsid w:val="00482B8C"/>
    <w:rsid w:val="004835C4"/>
    <w:rsid w:val="0048383F"/>
    <w:rsid w:val="004839F4"/>
    <w:rsid w:val="00484356"/>
    <w:rsid w:val="00485275"/>
    <w:rsid w:val="00485A99"/>
    <w:rsid w:val="00485D56"/>
    <w:rsid w:val="004866B2"/>
    <w:rsid w:val="00486BB2"/>
    <w:rsid w:val="00486D5E"/>
    <w:rsid w:val="004871C4"/>
    <w:rsid w:val="004903FC"/>
    <w:rsid w:val="0049057D"/>
    <w:rsid w:val="00490B39"/>
    <w:rsid w:val="00490D25"/>
    <w:rsid w:val="004910EE"/>
    <w:rsid w:val="004910F1"/>
    <w:rsid w:val="00491F7D"/>
    <w:rsid w:val="004921FB"/>
    <w:rsid w:val="00492264"/>
    <w:rsid w:val="00492428"/>
    <w:rsid w:val="00493251"/>
    <w:rsid w:val="004932A4"/>
    <w:rsid w:val="00493C20"/>
    <w:rsid w:val="00493CC6"/>
    <w:rsid w:val="00493E3B"/>
    <w:rsid w:val="004945A1"/>
    <w:rsid w:val="0049469D"/>
    <w:rsid w:val="0049501D"/>
    <w:rsid w:val="004952E7"/>
    <w:rsid w:val="004956AF"/>
    <w:rsid w:val="004958A4"/>
    <w:rsid w:val="004958E2"/>
    <w:rsid w:val="00495C12"/>
    <w:rsid w:val="00495C4E"/>
    <w:rsid w:val="0049648D"/>
    <w:rsid w:val="004965F2"/>
    <w:rsid w:val="00496603"/>
    <w:rsid w:val="0049697E"/>
    <w:rsid w:val="00496994"/>
    <w:rsid w:val="00496ACC"/>
    <w:rsid w:val="00496AFF"/>
    <w:rsid w:val="00496B6D"/>
    <w:rsid w:val="00496BEE"/>
    <w:rsid w:val="00496D8D"/>
    <w:rsid w:val="00497504"/>
    <w:rsid w:val="004A0090"/>
    <w:rsid w:val="004A0A93"/>
    <w:rsid w:val="004A174C"/>
    <w:rsid w:val="004A19DB"/>
    <w:rsid w:val="004A1CD2"/>
    <w:rsid w:val="004A1CF4"/>
    <w:rsid w:val="004A2055"/>
    <w:rsid w:val="004A212A"/>
    <w:rsid w:val="004A2B20"/>
    <w:rsid w:val="004A3C7C"/>
    <w:rsid w:val="004A40D2"/>
    <w:rsid w:val="004A4AAC"/>
    <w:rsid w:val="004A5149"/>
    <w:rsid w:val="004A52AD"/>
    <w:rsid w:val="004A6018"/>
    <w:rsid w:val="004A6281"/>
    <w:rsid w:val="004A6356"/>
    <w:rsid w:val="004A6445"/>
    <w:rsid w:val="004A741E"/>
    <w:rsid w:val="004A78D1"/>
    <w:rsid w:val="004B02A7"/>
    <w:rsid w:val="004B04C8"/>
    <w:rsid w:val="004B0782"/>
    <w:rsid w:val="004B0E98"/>
    <w:rsid w:val="004B1208"/>
    <w:rsid w:val="004B17D7"/>
    <w:rsid w:val="004B2428"/>
    <w:rsid w:val="004B27EA"/>
    <w:rsid w:val="004B2AC4"/>
    <w:rsid w:val="004B32EE"/>
    <w:rsid w:val="004B4349"/>
    <w:rsid w:val="004B443F"/>
    <w:rsid w:val="004B510D"/>
    <w:rsid w:val="004B608D"/>
    <w:rsid w:val="004B64F5"/>
    <w:rsid w:val="004B6D4F"/>
    <w:rsid w:val="004B7053"/>
    <w:rsid w:val="004B7587"/>
    <w:rsid w:val="004B7D73"/>
    <w:rsid w:val="004C0F97"/>
    <w:rsid w:val="004C1892"/>
    <w:rsid w:val="004C18BD"/>
    <w:rsid w:val="004C1ABF"/>
    <w:rsid w:val="004C2127"/>
    <w:rsid w:val="004C2186"/>
    <w:rsid w:val="004C36F3"/>
    <w:rsid w:val="004C37A7"/>
    <w:rsid w:val="004C396C"/>
    <w:rsid w:val="004C3B43"/>
    <w:rsid w:val="004C3E71"/>
    <w:rsid w:val="004C5369"/>
    <w:rsid w:val="004C5386"/>
    <w:rsid w:val="004C55E9"/>
    <w:rsid w:val="004C56C6"/>
    <w:rsid w:val="004C5891"/>
    <w:rsid w:val="004C5E9E"/>
    <w:rsid w:val="004C60D9"/>
    <w:rsid w:val="004C69F3"/>
    <w:rsid w:val="004C7359"/>
    <w:rsid w:val="004C77B3"/>
    <w:rsid w:val="004D0055"/>
    <w:rsid w:val="004D0C1D"/>
    <w:rsid w:val="004D1536"/>
    <w:rsid w:val="004D1BBC"/>
    <w:rsid w:val="004D1D23"/>
    <w:rsid w:val="004D2E7D"/>
    <w:rsid w:val="004D2E9B"/>
    <w:rsid w:val="004D2ECC"/>
    <w:rsid w:val="004D3664"/>
    <w:rsid w:val="004D367A"/>
    <w:rsid w:val="004D3B1D"/>
    <w:rsid w:val="004D3B96"/>
    <w:rsid w:val="004D4CF0"/>
    <w:rsid w:val="004D4E1C"/>
    <w:rsid w:val="004D504E"/>
    <w:rsid w:val="004D5629"/>
    <w:rsid w:val="004D60BC"/>
    <w:rsid w:val="004D647E"/>
    <w:rsid w:val="004D6593"/>
    <w:rsid w:val="004D6712"/>
    <w:rsid w:val="004D6760"/>
    <w:rsid w:val="004D67F3"/>
    <w:rsid w:val="004D6981"/>
    <w:rsid w:val="004D6BEA"/>
    <w:rsid w:val="004D7167"/>
    <w:rsid w:val="004D7C80"/>
    <w:rsid w:val="004DB774"/>
    <w:rsid w:val="004E0277"/>
    <w:rsid w:val="004E10C3"/>
    <w:rsid w:val="004E15DD"/>
    <w:rsid w:val="004E1C02"/>
    <w:rsid w:val="004E1F1E"/>
    <w:rsid w:val="004E209A"/>
    <w:rsid w:val="004E240E"/>
    <w:rsid w:val="004E3C9A"/>
    <w:rsid w:val="004E3E8C"/>
    <w:rsid w:val="004E432C"/>
    <w:rsid w:val="004E4BD9"/>
    <w:rsid w:val="004E4C41"/>
    <w:rsid w:val="004E537C"/>
    <w:rsid w:val="004E5829"/>
    <w:rsid w:val="004E5F29"/>
    <w:rsid w:val="004E5FEC"/>
    <w:rsid w:val="004E6F2C"/>
    <w:rsid w:val="004E7139"/>
    <w:rsid w:val="004E74FA"/>
    <w:rsid w:val="004E7664"/>
    <w:rsid w:val="004E7CBA"/>
    <w:rsid w:val="004E7E79"/>
    <w:rsid w:val="004F00C9"/>
    <w:rsid w:val="004F0418"/>
    <w:rsid w:val="004F21E9"/>
    <w:rsid w:val="004F23A6"/>
    <w:rsid w:val="004F28B5"/>
    <w:rsid w:val="004F2D3F"/>
    <w:rsid w:val="004F37A1"/>
    <w:rsid w:val="004F39C9"/>
    <w:rsid w:val="004F3E0A"/>
    <w:rsid w:val="004F3F17"/>
    <w:rsid w:val="004F408C"/>
    <w:rsid w:val="004F412C"/>
    <w:rsid w:val="004F4AB0"/>
    <w:rsid w:val="004F4D44"/>
    <w:rsid w:val="004F4ED4"/>
    <w:rsid w:val="004F5B2D"/>
    <w:rsid w:val="004F5C80"/>
    <w:rsid w:val="004F5C86"/>
    <w:rsid w:val="004F5C8A"/>
    <w:rsid w:val="004F638E"/>
    <w:rsid w:val="004F64F1"/>
    <w:rsid w:val="004F6614"/>
    <w:rsid w:val="004F6852"/>
    <w:rsid w:val="004F69B4"/>
    <w:rsid w:val="004F739D"/>
    <w:rsid w:val="004F74AE"/>
    <w:rsid w:val="004F75B0"/>
    <w:rsid w:val="004F7E70"/>
    <w:rsid w:val="00500045"/>
    <w:rsid w:val="0050005D"/>
    <w:rsid w:val="00501430"/>
    <w:rsid w:val="0050169C"/>
    <w:rsid w:val="00501C09"/>
    <w:rsid w:val="00501EED"/>
    <w:rsid w:val="00502033"/>
    <w:rsid w:val="005021BE"/>
    <w:rsid w:val="005023A1"/>
    <w:rsid w:val="00502BD4"/>
    <w:rsid w:val="0050327C"/>
    <w:rsid w:val="00503C25"/>
    <w:rsid w:val="00503DCE"/>
    <w:rsid w:val="0050456B"/>
    <w:rsid w:val="00504661"/>
    <w:rsid w:val="00504A12"/>
    <w:rsid w:val="005059A2"/>
    <w:rsid w:val="00505AF2"/>
    <w:rsid w:val="00505BF7"/>
    <w:rsid w:val="00506F07"/>
    <w:rsid w:val="00506FD4"/>
    <w:rsid w:val="0050729C"/>
    <w:rsid w:val="0050750B"/>
    <w:rsid w:val="00507959"/>
    <w:rsid w:val="00507C99"/>
    <w:rsid w:val="005100EB"/>
    <w:rsid w:val="00510234"/>
    <w:rsid w:val="0051082E"/>
    <w:rsid w:val="00510C50"/>
    <w:rsid w:val="00510F3A"/>
    <w:rsid w:val="00511272"/>
    <w:rsid w:val="00511445"/>
    <w:rsid w:val="005114E3"/>
    <w:rsid w:val="00511841"/>
    <w:rsid w:val="00512C3A"/>
    <w:rsid w:val="0051326F"/>
    <w:rsid w:val="00513660"/>
    <w:rsid w:val="00513948"/>
    <w:rsid w:val="0051398D"/>
    <w:rsid w:val="00513DCB"/>
    <w:rsid w:val="00514128"/>
    <w:rsid w:val="00514174"/>
    <w:rsid w:val="0051448D"/>
    <w:rsid w:val="00514552"/>
    <w:rsid w:val="00514555"/>
    <w:rsid w:val="00514684"/>
    <w:rsid w:val="00514954"/>
    <w:rsid w:val="00515217"/>
    <w:rsid w:val="005155C2"/>
    <w:rsid w:val="00516197"/>
    <w:rsid w:val="00516D55"/>
    <w:rsid w:val="00516F24"/>
    <w:rsid w:val="00516F72"/>
    <w:rsid w:val="00516F8D"/>
    <w:rsid w:val="005173B3"/>
    <w:rsid w:val="00517745"/>
    <w:rsid w:val="00520165"/>
    <w:rsid w:val="005204E1"/>
    <w:rsid w:val="00520790"/>
    <w:rsid w:val="00520ABD"/>
    <w:rsid w:val="00520E22"/>
    <w:rsid w:val="005219A3"/>
    <w:rsid w:val="00521C6B"/>
    <w:rsid w:val="00521CC6"/>
    <w:rsid w:val="0052299C"/>
    <w:rsid w:val="00522B3D"/>
    <w:rsid w:val="00523018"/>
    <w:rsid w:val="00523391"/>
    <w:rsid w:val="00523B35"/>
    <w:rsid w:val="0052450D"/>
    <w:rsid w:val="00524C3D"/>
    <w:rsid w:val="00524D87"/>
    <w:rsid w:val="005258A2"/>
    <w:rsid w:val="00525CD2"/>
    <w:rsid w:val="00525E59"/>
    <w:rsid w:val="00526034"/>
    <w:rsid w:val="0052638E"/>
    <w:rsid w:val="0052640D"/>
    <w:rsid w:val="005264A6"/>
    <w:rsid w:val="005269AF"/>
    <w:rsid w:val="00526E1B"/>
    <w:rsid w:val="00526F03"/>
    <w:rsid w:val="00527DD2"/>
    <w:rsid w:val="00527ED0"/>
    <w:rsid w:val="00527F2F"/>
    <w:rsid w:val="0053017B"/>
    <w:rsid w:val="005306CA"/>
    <w:rsid w:val="00530759"/>
    <w:rsid w:val="005309D6"/>
    <w:rsid w:val="00531611"/>
    <w:rsid w:val="00531E82"/>
    <w:rsid w:val="00531E99"/>
    <w:rsid w:val="00532075"/>
    <w:rsid w:val="005324E1"/>
    <w:rsid w:val="00532B6A"/>
    <w:rsid w:val="00532D48"/>
    <w:rsid w:val="00532D5D"/>
    <w:rsid w:val="00532ED3"/>
    <w:rsid w:val="00532F89"/>
    <w:rsid w:val="00533B7C"/>
    <w:rsid w:val="00533C06"/>
    <w:rsid w:val="00533FA0"/>
    <w:rsid w:val="00534DB3"/>
    <w:rsid w:val="00535CA8"/>
    <w:rsid w:val="00536AEE"/>
    <w:rsid w:val="00537E5D"/>
    <w:rsid w:val="00537EE8"/>
    <w:rsid w:val="0054008F"/>
    <w:rsid w:val="0054036C"/>
    <w:rsid w:val="00540BDA"/>
    <w:rsid w:val="00541741"/>
    <w:rsid w:val="00541CB2"/>
    <w:rsid w:val="00542792"/>
    <w:rsid w:val="0054451E"/>
    <w:rsid w:val="00544C1A"/>
    <w:rsid w:val="005450B8"/>
    <w:rsid w:val="00545161"/>
    <w:rsid w:val="005457C3"/>
    <w:rsid w:val="00545933"/>
    <w:rsid w:val="0054660E"/>
    <w:rsid w:val="00546B77"/>
    <w:rsid w:val="00546D4A"/>
    <w:rsid w:val="005478C6"/>
    <w:rsid w:val="00550831"/>
    <w:rsid w:val="00550D18"/>
    <w:rsid w:val="00550EBF"/>
    <w:rsid w:val="00551D48"/>
    <w:rsid w:val="00551F2B"/>
    <w:rsid w:val="0055210A"/>
    <w:rsid w:val="00552561"/>
    <w:rsid w:val="00552CA8"/>
    <w:rsid w:val="005534D1"/>
    <w:rsid w:val="0055380C"/>
    <w:rsid w:val="00553BF9"/>
    <w:rsid w:val="00553E45"/>
    <w:rsid w:val="00554229"/>
    <w:rsid w:val="00554E6F"/>
    <w:rsid w:val="00554F74"/>
    <w:rsid w:val="00555578"/>
    <w:rsid w:val="00555612"/>
    <w:rsid w:val="005558C3"/>
    <w:rsid w:val="00555AE7"/>
    <w:rsid w:val="005560F1"/>
    <w:rsid w:val="00556369"/>
    <w:rsid w:val="00556851"/>
    <w:rsid w:val="00557645"/>
    <w:rsid w:val="005606FC"/>
    <w:rsid w:val="00560F8E"/>
    <w:rsid w:val="0056142F"/>
    <w:rsid w:val="005614A9"/>
    <w:rsid w:val="00561647"/>
    <w:rsid w:val="00561893"/>
    <w:rsid w:val="00561904"/>
    <w:rsid w:val="00561E46"/>
    <w:rsid w:val="00561F68"/>
    <w:rsid w:val="005622F1"/>
    <w:rsid w:val="00562760"/>
    <w:rsid w:val="00562788"/>
    <w:rsid w:val="00562EAA"/>
    <w:rsid w:val="00563A4E"/>
    <w:rsid w:val="0056510B"/>
    <w:rsid w:val="0056511A"/>
    <w:rsid w:val="005652B6"/>
    <w:rsid w:val="00566781"/>
    <w:rsid w:val="005667ED"/>
    <w:rsid w:val="00566EE2"/>
    <w:rsid w:val="00567620"/>
    <w:rsid w:val="0056798B"/>
    <w:rsid w:val="005708C2"/>
    <w:rsid w:val="00571240"/>
    <w:rsid w:val="00571543"/>
    <w:rsid w:val="00573003"/>
    <w:rsid w:val="005749B1"/>
    <w:rsid w:val="00574E87"/>
    <w:rsid w:val="0057532A"/>
    <w:rsid w:val="00575341"/>
    <w:rsid w:val="005753B2"/>
    <w:rsid w:val="00575538"/>
    <w:rsid w:val="005757B8"/>
    <w:rsid w:val="005757C4"/>
    <w:rsid w:val="00575977"/>
    <w:rsid w:val="00575A1E"/>
    <w:rsid w:val="005761E4"/>
    <w:rsid w:val="005763B9"/>
    <w:rsid w:val="005763E0"/>
    <w:rsid w:val="00576483"/>
    <w:rsid w:val="005772E5"/>
    <w:rsid w:val="00577416"/>
    <w:rsid w:val="00577AB0"/>
    <w:rsid w:val="005805DD"/>
    <w:rsid w:val="00580E36"/>
    <w:rsid w:val="005810DF"/>
    <w:rsid w:val="005823CF"/>
    <w:rsid w:val="005824E7"/>
    <w:rsid w:val="00582901"/>
    <w:rsid w:val="00582B1B"/>
    <w:rsid w:val="00582B22"/>
    <w:rsid w:val="0058353A"/>
    <w:rsid w:val="005839D2"/>
    <w:rsid w:val="005845CF"/>
    <w:rsid w:val="005847FB"/>
    <w:rsid w:val="00585DF7"/>
    <w:rsid w:val="00585EBE"/>
    <w:rsid w:val="00586244"/>
    <w:rsid w:val="00586356"/>
    <w:rsid w:val="00586383"/>
    <w:rsid w:val="005865B5"/>
    <w:rsid w:val="00586E04"/>
    <w:rsid w:val="00586E61"/>
    <w:rsid w:val="00586EEF"/>
    <w:rsid w:val="00587262"/>
    <w:rsid w:val="00587645"/>
    <w:rsid w:val="005903C6"/>
    <w:rsid w:val="00590412"/>
    <w:rsid w:val="00590783"/>
    <w:rsid w:val="00590D2E"/>
    <w:rsid w:val="00591DF5"/>
    <w:rsid w:val="005924B4"/>
    <w:rsid w:val="00592711"/>
    <w:rsid w:val="005927DA"/>
    <w:rsid w:val="00592DB2"/>
    <w:rsid w:val="00592E3F"/>
    <w:rsid w:val="00593CD3"/>
    <w:rsid w:val="005940C4"/>
    <w:rsid w:val="00594202"/>
    <w:rsid w:val="00594292"/>
    <w:rsid w:val="00594533"/>
    <w:rsid w:val="00594A9C"/>
    <w:rsid w:val="0059540F"/>
    <w:rsid w:val="005956F2"/>
    <w:rsid w:val="00595E04"/>
    <w:rsid w:val="0059602C"/>
    <w:rsid w:val="0059680F"/>
    <w:rsid w:val="00596B7C"/>
    <w:rsid w:val="00596D94"/>
    <w:rsid w:val="00597577"/>
    <w:rsid w:val="0059762C"/>
    <w:rsid w:val="005A0384"/>
    <w:rsid w:val="005A1600"/>
    <w:rsid w:val="005A16D4"/>
    <w:rsid w:val="005A1F21"/>
    <w:rsid w:val="005A205D"/>
    <w:rsid w:val="005A2C8A"/>
    <w:rsid w:val="005A3E17"/>
    <w:rsid w:val="005A401C"/>
    <w:rsid w:val="005A4A2E"/>
    <w:rsid w:val="005A4A4D"/>
    <w:rsid w:val="005A527D"/>
    <w:rsid w:val="005A57A5"/>
    <w:rsid w:val="005A587E"/>
    <w:rsid w:val="005A62EA"/>
    <w:rsid w:val="005A6868"/>
    <w:rsid w:val="005A7087"/>
    <w:rsid w:val="005A734F"/>
    <w:rsid w:val="005A772B"/>
    <w:rsid w:val="005A7D17"/>
    <w:rsid w:val="005A7E3D"/>
    <w:rsid w:val="005B00BB"/>
    <w:rsid w:val="005B07E0"/>
    <w:rsid w:val="005B0A0A"/>
    <w:rsid w:val="005B0E2D"/>
    <w:rsid w:val="005B109F"/>
    <w:rsid w:val="005B1244"/>
    <w:rsid w:val="005B225B"/>
    <w:rsid w:val="005B2429"/>
    <w:rsid w:val="005B3CD8"/>
    <w:rsid w:val="005B4B7A"/>
    <w:rsid w:val="005B4F5D"/>
    <w:rsid w:val="005B511B"/>
    <w:rsid w:val="005B5B33"/>
    <w:rsid w:val="005B6806"/>
    <w:rsid w:val="005B72E0"/>
    <w:rsid w:val="005B739A"/>
    <w:rsid w:val="005B7DF3"/>
    <w:rsid w:val="005C01B7"/>
    <w:rsid w:val="005C1650"/>
    <w:rsid w:val="005C1AA4"/>
    <w:rsid w:val="005C1F55"/>
    <w:rsid w:val="005C1F61"/>
    <w:rsid w:val="005C20CA"/>
    <w:rsid w:val="005C23DF"/>
    <w:rsid w:val="005C368A"/>
    <w:rsid w:val="005C39A1"/>
    <w:rsid w:val="005C3A02"/>
    <w:rsid w:val="005C3A29"/>
    <w:rsid w:val="005C3F95"/>
    <w:rsid w:val="005C4068"/>
    <w:rsid w:val="005C4419"/>
    <w:rsid w:val="005C5708"/>
    <w:rsid w:val="005C5BEE"/>
    <w:rsid w:val="005C6272"/>
    <w:rsid w:val="005C645C"/>
    <w:rsid w:val="005C7056"/>
    <w:rsid w:val="005C7E67"/>
    <w:rsid w:val="005CF56A"/>
    <w:rsid w:val="005D08EB"/>
    <w:rsid w:val="005D0E3F"/>
    <w:rsid w:val="005D2ABB"/>
    <w:rsid w:val="005D2E69"/>
    <w:rsid w:val="005D31E4"/>
    <w:rsid w:val="005D38E8"/>
    <w:rsid w:val="005D3CC3"/>
    <w:rsid w:val="005D4782"/>
    <w:rsid w:val="005D48E3"/>
    <w:rsid w:val="005D4AE5"/>
    <w:rsid w:val="005D52B2"/>
    <w:rsid w:val="005D5C11"/>
    <w:rsid w:val="005D5D51"/>
    <w:rsid w:val="005D613E"/>
    <w:rsid w:val="005D7AE9"/>
    <w:rsid w:val="005E0183"/>
    <w:rsid w:val="005E0485"/>
    <w:rsid w:val="005E09A8"/>
    <w:rsid w:val="005E0B43"/>
    <w:rsid w:val="005E0B48"/>
    <w:rsid w:val="005E1045"/>
    <w:rsid w:val="005E1178"/>
    <w:rsid w:val="005E17E5"/>
    <w:rsid w:val="005E1A4D"/>
    <w:rsid w:val="005E2420"/>
    <w:rsid w:val="005E26AC"/>
    <w:rsid w:val="005E292E"/>
    <w:rsid w:val="005E2A5B"/>
    <w:rsid w:val="005E2F5D"/>
    <w:rsid w:val="005E3970"/>
    <w:rsid w:val="005E39F5"/>
    <w:rsid w:val="005E3F07"/>
    <w:rsid w:val="005E413B"/>
    <w:rsid w:val="005E4646"/>
    <w:rsid w:val="005E4F52"/>
    <w:rsid w:val="005E5D2A"/>
    <w:rsid w:val="005E69A7"/>
    <w:rsid w:val="005E6A58"/>
    <w:rsid w:val="005E6B41"/>
    <w:rsid w:val="005E725F"/>
    <w:rsid w:val="005E7713"/>
    <w:rsid w:val="005E7BDB"/>
    <w:rsid w:val="005F0BD1"/>
    <w:rsid w:val="005F1C99"/>
    <w:rsid w:val="005F1F00"/>
    <w:rsid w:val="005F2AF3"/>
    <w:rsid w:val="005F3C37"/>
    <w:rsid w:val="005F3D10"/>
    <w:rsid w:val="005F50FA"/>
    <w:rsid w:val="005F541C"/>
    <w:rsid w:val="005F6015"/>
    <w:rsid w:val="005F6681"/>
    <w:rsid w:val="005F6738"/>
    <w:rsid w:val="005F6971"/>
    <w:rsid w:val="005F70F2"/>
    <w:rsid w:val="005F74F7"/>
    <w:rsid w:val="005F7DA4"/>
    <w:rsid w:val="0060003F"/>
    <w:rsid w:val="006002B5"/>
    <w:rsid w:val="00601FF3"/>
    <w:rsid w:val="00602174"/>
    <w:rsid w:val="006027C6"/>
    <w:rsid w:val="00602A38"/>
    <w:rsid w:val="00602CED"/>
    <w:rsid w:val="00603F57"/>
    <w:rsid w:val="0060452A"/>
    <w:rsid w:val="00604B43"/>
    <w:rsid w:val="00604C42"/>
    <w:rsid w:val="00604D45"/>
    <w:rsid w:val="006050AE"/>
    <w:rsid w:val="006056B2"/>
    <w:rsid w:val="006062E4"/>
    <w:rsid w:val="00606D9B"/>
    <w:rsid w:val="00607090"/>
    <w:rsid w:val="0060709A"/>
    <w:rsid w:val="0060739B"/>
    <w:rsid w:val="006073AB"/>
    <w:rsid w:val="006073D8"/>
    <w:rsid w:val="00607FCF"/>
    <w:rsid w:val="00610766"/>
    <w:rsid w:val="0061081C"/>
    <w:rsid w:val="0061099E"/>
    <w:rsid w:val="00610AD7"/>
    <w:rsid w:val="00610FB0"/>
    <w:rsid w:val="00611A3C"/>
    <w:rsid w:val="00611F4D"/>
    <w:rsid w:val="00611F85"/>
    <w:rsid w:val="006120DA"/>
    <w:rsid w:val="006122B2"/>
    <w:rsid w:val="00612654"/>
    <w:rsid w:val="0061364F"/>
    <w:rsid w:val="00613941"/>
    <w:rsid w:val="00613D4A"/>
    <w:rsid w:val="00614D68"/>
    <w:rsid w:val="00614EA7"/>
    <w:rsid w:val="00615607"/>
    <w:rsid w:val="00615764"/>
    <w:rsid w:val="00615E68"/>
    <w:rsid w:val="0061615B"/>
    <w:rsid w:val="006165A4"/>
    <w:rsid w:val="00616A00"/>
    <w:rsid w:val="00616E97"/>
    <w:rsid w:val="00617B37"/>
    <w:rsid w:val="00617C34"/>
    <w:rsid w:val="00620749"/>
    <w:rsid w:val="006216EA"/>
    <w:rsid w:val="00621B0C"/>
    <w:rsid w:val="006236B2"/>
    <w:rsid w:val="00623C59"/>
    <w:rsid w:val="00624A2D"/>
    <w:rsid w:val="00624DD0"/>
    <w:rsid w:val="00625390"/>
    <w:rsid w:val="00625410"/>
    <w:rsid w:val="006257B2"/>
    <w:rsid w:val="00626079"/>
    <w:rsid w:val="00626364"/>
    <w:rsid w:val="006266C5"/>
    <w:rsid w:val="0062675B"/>
    <w:rsid w:val="006273D0"/>
    <w:rsid w:val="00627C14"/>
    <w:rsid w:val="00631A0B"/>
    <w:rsid w:val="00631B82"/>
    <w:rsid w:val="00631C1E"/>
    <w:rsid w:val="00631D0C"/>
    <w:rsid w:val="00631FB4"/>
    <w:rsid w:val="00631FDF"/>
    <w:rsid w:val="00632189"/>
    <w:rsid w:val="006323D6"/>
    <w:rsid w:val="00632A95"/>
    <w:rsid w:val="00632C47"/>
    <w:rsid w:val="00632DD2"/>
    <w:rsid w:val="00632E23"/>
    <w:rsid w:val="0063378F"/>
    <w:rsid w:val="00633BD3"/>
    <w:rsid w:val="006344AD"/>
    <w:rsid w:val="006344E5"/>
    <w:rsid w:val="006344EA"/>
    <w:rsid w:val="00634689"/>
    <w:rsid w:val="00634B92"/>
    <w:rsid w:val="0063554B"/>
    <w:rsid w:val="006355CD"/>
    <w:rsid w:val="0063591D"/>
    <w:rsid w:val="0063614B"/>
    <w:rsid w:val="00636E96"/>
    <w:rsid w:val="00637588"/>
    <w:rsid w:val="006378D7"/>
    <w:rsid w:val="00637C6C"/>
    <w:rsid w:val="00637D9C"/>
    <w:rsid w:val="00640E80"/>
    <w:rsid w:val="00641294"/>
    <w:rsid w:val="006413B6"/>
    <w:rsid w:val="0064167A"/>
    <w:rsid w:val="00641E78"/>
    <w:rsid w:val="006422E0"/>
    <w:rsid w:val="006427B6"/>
    <w:rsid w:val="006429B0"/>
    <w:rsid w:val="006431CF"/>
    <w:rsid w:val="00644AAC"/>
    <w:rsid w:val="00644AB7"/>
    <w:rsid w:val="00644B79"/>
    <w:rsid w:val="00644F24"/>
    <w:rsid w:val="00645AE6"/>
    <w:rsid w:val="00646416"/>
    <w:rsid w:val="0064643E"/>
    <w:rsid w:val="00646ABC"/>
    <w:rsid w:val="00646F29"/>
    <w:rsid w:val="0064711A"/>
    <w:rsid w:val="00647FF9"/>
    <w:rsid w:val="00650014"/>
    <w:rsid w:val="00650522"/>
    <w:rsid w:val="0065092A"/>
    <w:rsid w:val="00651014"/>
    <w:rsid w:val="0065289C"/>
    <w:rsid w:val="00652971"/>
    <w:rsid w:val="00653798"/>
    <w:rsid w:val="006537C2"/>
    <w:rsid w:val="00653995"/>
    <w:rsid w:val="00653D72"/>
    <w:rsid w:val="006540BD"/>
    <w:rsid w:val="00654AF5"/>
    <w:rsid w:val="00654CF3"/>
    <w:rsid w:val="00654FB8"/>
    <w:rsid w:val="006550B7"/>
    <w:rsid w:val="006551B6"/>
    <w:rsid w:val="00655252"/>
    <w:rsid w:val="0065588B"/>
    <w:rsid w:val="006558C2"/>
    <w:rsid w:val="00655A68"/>
    <w:rsid w:val="00656155"/>
    <w:rsid w:val="00656793"/>
    <w:rsid w:val="0065724E"/>
    <w:rsid w:val="006573AA"/>
    <w:rsid w:val="00657444"/>
    <w:rsid w:val="00657D98"/>
    <w:rsid w:val="00657D9F"/>
    <w:rsid w:val="00660D63"/>
    <w:rsid w:val="00661505"/>
    <w:rsid w:val="006618F1"/>
    <w:rsid w:val="00661F8E"/>
    <w:rsid w:val="006621C9"/>
    <w:rsid w:val="00662A2A"/>
    <w:rsid w:val="00662C9C"/>
    <w:rsid w:val="006631AA"/>
    <w:rsid w:val="006631FC"/>
    <w:rsid w:val="00663257"/>
    <w:rsid w:val="00663532"/>
    <w:rsid w:val="00663960"/>
    <w:rsid w:val="00663A2A"/>
    <w:rsid w:val="00663A38"/>
    <w:rsid w:val="00664A49"/>
    <w:rsid w:val="00664B71"/>
    <w:rsid w:val="00664BD8"/>
    <w:rsid w:val="00664C64"/>
    <w:rsid w:val="00664F5B"/>
    <w:rsid w:val="00665219"/>
    <w:rsid w:val="00665821"/>
    <w:rsid w:val="006666D3"/>
    <w:rsid w:val="006679AD"/>
    <w:rsid w:val="00667DDF"/>
    <w:rsid w:val="00670215"/>
    <w:rsid w:val="0067042D"/>
    <w:rsid w:val="0067062F"/>
    <w:rsid w:val="006706A0"/>
    <w:rsid w:val="00670C96"/>
    <w:rsid w:val="00670DB2"/>
    <w:rsid w:val="006711A3"/>
    <w:rsid w:val="00671749"/>
    <w:rsid w:val="0067364E"/>
    <w:rsid w:val="0067387F"/>
    <w:rsid w:val="00673A97"/>
    <w:rsid w:val="00674005"/>
    <w:rsid w:val="00674482"/>
    <w:rsid w:val="006744E3"/>
    <w:rsid w:val="00674FDC"/>
    <w:rsid w:val="00675071"/>
    <w:rsid w:val="0067510C"/>
    <w:rsid w:val="00675FA9"/>
    <w:rsid w:val="00676978"/>
    <w:rsid w:val="0067712E"/>
    <w:rsid w:val="0067720B"/>
    <w:rsid w:val="0067761B"/>
    <w:rsid w:val="006804A6"/>
    <w:rsid w:val="00680C5D"/>
    <w:rsid w:val="00680EBE"/>
    <w:rsid w:val="00680EEE"/>
    <w:rsid w:val="00681002"/>
    <w:rsid w:val="006812D4"/>
    <w:rsid w:val="00681BD4"/>
    <w:rsid w:val="00681E51"/>
    <w:rsid w:val="00682909"/>
    <w:rsid w:val="00682AA9"/>
    <w:rsid w:val="00682C13"/>
    <w:rsid w:val="00682C38"/>
    <w:rsid w:val="00683671"/>
    <w:rsid w:val="006837E4"/>
    <w:rsid w:val="00683804"/>
    <w:rsid w:val="00683930"/>
    <w:rsid w:val="006839FC"/>
    <w:rsid w:val="006840FB"/>
    <w:rsid w:val="0068413B"/>
    <w:rsid w:val="00684384"/>
    <w:rsid w:val="00684865"/>
    <w:rsid w:val="00684C73"/>
    <w:rsid w:val="00684DD3"/>
    <w:rsid w:val="006850FA"/>
    <w:rsid w:val="00685162"/>
    <w:rsid w:val="00685B03"/>
    <w:rsid w:val="00685E2C"/>
    <w:rsid w:val="00686DA1"/>
    <w:rsid w:val="00686F50"/>
    <w:rsid w:val="006874C8"/>
    <w:rsid w:val="00687D97"/>
    <w:rsid w:val="00690B6D"/>
    <w:rsid w:val="00690CF4"/>
    <w:rsid w:val="00691085"/>
    <w:rsid w:val="00691A22"/>
    <w:rsid w:val="00692809"/>
    <w:rsid w:val="00693154"/>
    <w:rsid w:val="006941FB"/>
    <w:rsid w:val="006952B5"/>
    <w:rsid w:val="006958E4"/>
    <w:rsid w:val="00695923"/>
    <w:rsid w:val="00695D29"/>
    <w:rsid w:val="00695E05"/>
    <w:rsid w:val="00695F8F"/>
    <w:rsid w:val="00696129"/>
    <w:rsid w:val="00696959"/>
    <w:rsid w:val="00696B8D"/>
    <w:rsid w:val="00696D1A"/>
    <w:rsid w:val="00697091"/>
    <w:rsid w:val="006972BA"/>
    <w:rsid w:val="006A0711"/>
    <w:rsid w:val="006A11BE"/>
    <w:rsid w:val="006A1292"/>
    <w:rsid w:val="006A16B9"/>
    <w:rsid w:val="006A18C2"/>
    <w:rsid w:val="006A2712"/>
    <w:rsid w:val="006A2B51"/>
    <w:rsid w:val="006A3666"/>
    <w:rsid w:val="006A4632"/>
    <w:rsid w:val="006A473A"/>
    <w:rsid w:val="006A4938"/>
    <w:rsid w:val="006A4AF2"/>
    <w:rsid w:val="006A536F"/>
    <w:rsid w:val="006A55D5"/>
    <w:rsid w:val="006A56D5"/>
    <w:rsid w:val="006A594E"/>
    <w:rsid w:val="006A5A45"/>
    <w:rsid w:val="006A5A85"/>
    <w:rsid w:val="006A5B78"/>
    <w:rsid w:val="006A5D46"/>
    <w:rsid w:val="006A6299"/>
    <w:rsid w:val="006A66DF"/>
    <w:rsid w:val="006A6AA2"/>
    <w:rsid w:val="006A6C63"/>
    <w:rsid w:val="006A71A1"/>
    <w:rsid w:val="006B1817"/>
    <w:rsid w:val="006B1949"/>
    <w:rsid w:val="006B1C67"/>
    <w:rsid w:val="006B1D4C"/>
    <w:rsid w:val="006B26A2"/>
    <w:rsid w:val="006B2845"/>
    <w:rsid w:val="006B29FA"/>
    <w:rsid w:val="006B2B75"/>
    <w:rsid w:val="006B2DF8"/>
    <w:rsid w:val="006B3106"/>
    <w:rsid w:val="006B3664"/>
    <w:rsid w:val="006B38DF"/>
    <w:rsid w:val="006B4036"/>
    <w:rsid w:val="006B561F"/>
    <w:rsid w:val="006B5A0B"/>
    <w:rsid w:val="006B6710"/>
    <w:rsid w:val="006B671C"/>
    <w:rsid w:val="006B6B4A"/>
    <w:rsid w:val="006B6D26"/>
    <w:rsid w:val="006B7210"/>
    <w:rsid w:val="006B7406"/>
    <w:rsid w:val="006C0EF5"/>
    <w:rsid w:val="006C127F"/>
    <w:rsid w:val="006C1B73"/>
    <w:rsid w:val="006C1E71"/>
    <w:rsid w:val="006C1F26"/>
    <w:rsid w:val="006C25F9"/>
    <w:rsid w:val="006C2A5D"/>
    <w:rsid w:val="006C2C79"/>
    <w:rsid w:val="006C4424"/>
    <w:rsid w:val="006C48C2"/>
    <w:rsid w:val="006C58B3"/>
    <w:rsid w:val="006C5D1B"/>
    <w:rsid w:val="006C5F69"/>
    <w:rsid w:val="006C645A"/>
    <w:rsid w:val="006C663B"/>
    <w:rsid w:val="006C71C9"/>
    <w:rsid w:val="006C7CF2"/>
    <w:rsid w:val="006C7D57"/>
    <w:rsid w:val="006C7E70"/>
    <w:rsid w:val="006D0216"/>
    <w:rsid w:val="006D0B07"/>
    <w:rsid w:val="006D0F11"/>
    <w:rsid w:val="006D0FBD"/>
    <w:rsid w:val="006D1295"/>
    <w:rsid w:val="006D16AC"/>
    <w:rsid w:val="006D2589"/>
    <w:rsid w:val="006D2659"/>
    <w:rsid w:val="006D306A"/>
    <w:rsid w:val="006D376B"/>
    <w:rsid w:val="006D3911"/>
    <w:rsid w:val="006D3A3B"/>
    <w:rsid w:val="006D4138"/>
    <w:rsid w:val="006D4A62"/>
    <w:rsid w:val="006D4C63"/>
    <w:rsid w:val="006D51BB"/>
    <w:rsid w:val="006D51FF"/>
    <w:rsid w:val="006D5341"/>
    <w:rsid w:val="006D581E"/>
    <w:rsid w:val="006D5DEB"/>
    <w:rsid w:val="006D648B"/>
    <w:rsid w:val="006D7F2D"/>
    <w:rsid w:val="006E0250"/>
    <w:rsid w:val="006E050D"/>
    <w:rsid w:val="006E05D6"/>
    <w:rsid w:val="006E06D2"/>
    <w:rsid w:val="006E0D9C"/>
    <w:rsid w:val="006E10F0"/>
    <w:rsid w:val="006E1369"/>
    <w:rsid w:val="006E28CE"/>
    <w:rsid w:val="006E2D09"/>
    <w:rsid w:val="006E3114"/>
    <w:rsid w:val="006E34A7"/>
    <w:rsid w:val="006E3C76"/>
    <w:rsid w:val="006E3D95"/>
    <w:rsid w:val="006E4872"/>
    <w:rsid w:val="006E4ECB"/>
    <w:rsid w:val="006E4F7F"/>
    <w:rsid w:val="006E57B8"/>
    <w:rsid w:val="006E6057"/>
    <w:rsid w:val="006E65B1"/>
    <w:rsid w:val="006E679E"/>
    <w:rsid w:val="006E6AD1"/>
    <w:rsid w:val="006E6C84"/>
    <w:rsid w:val="006E700F"/>
    <w:rsid w:val="006E7CE7"/>
    <w:rsid w:val="006F1DB4"/>
    <w:rsid w:val="006F27EF"/>
    <w:rsid w:val="006F30A7"/>
    <w:rsid w:val="006F35CD"/>
    <w:rsid w:val="006F36B3"/>
    <w:rsid w:val="006F3783"/>
    <w:rsid w:val="006F3C00"/>
    <w:rsid w:val="006F422B"/>
    <w:rsid w:val="006F4779"/>
    <w:rsid w:val="006F48D2"/>
    <w:rsid w:val="006F4A93"/>
    <w:rsid w:val="006F4C78"/>
    <w:rsid w:val="006F4D88"/>
    <w:rsid w:val="006F5273"/>
    <w:rsid w:val="006F563A"/>
    <w:rsid w:val="006F61DE"/>
    <w:rsid w:val="006F633F"/>
    <w:rsid w:val="006F65E3"/>
    <w:rsid w:val="006F66CF"/>
    <w:rsid w:val="006F6F6C"/>
    <w:rsid w:val="006F717C"/>
    <w:rsid w:val="006F71A6"/>
    <w:rsid w:val="006F7B0B"/>
    <w:rsid w:val="0070032C"/>
    <w:rsid w:val="00700462"/>
    <w:rsid w:val="007004CA"/>
    <w:rsid w:val="007014AA"/>
    <w:rsid w:val="00701601"/>
    <w:rsid w:val="00701762"/>
    <w:rsid w:val="00701A5E"/>
    <w:rsid w:val="007028CF"/>
    <w:rsid w:val="00702B62"/>
    <w:rsid w:val="007031A7"/>
    <w:rsid w:val="007036EE"/>
    <w:rsid w:val="007037E9"/>
    <w:rsid w:val="00703BA2"/>
    <w:rsid w:val="00704684"/>
    <w:rsid w:val="00704E54"/>
    <w:rsid w:val="00705835"/>
    <w:rsid w:val="00705DF1"/>
    <w:rsid w:val="00706187"/>
    <w:rsid w:val="007066A9"/>
    <w:rsid w:val="0070709D"/>
    <w:rsid w:val="00707326"/>
    <w:rsid w:val="007076C1"/>
    <w:rsid w:val="00707834"/>
    <w:rsid w:val="0070794C"/>
    <w:rsid w:val="00707A97"/>
    <w:rsid w:val="00707C9F"/>
    <w:rsid w:val="00710147"/>
    <w:rsid w:val="00710460"/>
    <w:rsid w:val="007106DF"/>
    <w:rsid w:val="00710B86"/>
    <w:rsid w:val="00710DA3"/>
    <w:rsid w:val="00710E03"/>
    <w:rsid w:val="0071171E"/>
    <w:rsid w:val="00711810"/>
    <w:rsid w:val="007127C5"/>
    <w:rsid w:val="007127D0"/>
    <w:rsid w:val="00713225"/>
    <w:rsid w:val="00713334"/>
    <w:rsid w:val="0071355F"/>
    <w:rsid w:val="00713B87"/>
    <w:rsid w:val="00713C89"/>
    <w:rsid w:val="0071435F"/>
    <w:rsid w:val="007145E9"/>
    <w:rsid w:val="0071491E"/>
    <w:rsid w:val="007153EA"/>
    <w:rsid w:val="00715F35"/>
    <w:rsid w:val="00715F4D"/>
    <w:rsid w:val="00716224"/>
    <w:rsid w:val="00716996"/>
    <w:rsid w:val="00716EA9"/>
    <w:rsid w:val="00716F52"/>
    <w:rsid w:val="00716F79"/>
    <w:rsid w:val="00717659"/>
    <w:rsid w:val="00717BA4"/>
    <w:rsid w:val="00720CB6"/>
    <w:rsid w:val="00720EAD"/>
    <w:rsid w:val="00720FC7"/>
    <w:rsid w:val="007211D1"/>
    <w:rsid w:val="0072146C"/>
    <w:rsid w:val="00721FF4"/>
    <w:rsid w:val="00722F62"/>
    <w:rsid w:val="00723DFC"/>
    <w:rsid w:val="00724334"/>
    <w:rsid w:val="007243ED"/>
    <w:rsid w:val="0072441F"/>
    <w:rsid w:val="007248E1"/>
    <w:rsid w:val="00724F3F"/>
    <w:rsid w:val="007250A4"/>
    <w:rsid w:val="007255B4"/>
    <w:rsid w:val="007266CA"/>
    <w:rsid w:val="0072784C"/>
    <w:rsid w:val="00727F31"/>
    <w:rsid w:val="007301AD"/>
    <w:rsid w:val="00730851"/>
    <w:rsid w:val="00730BBA"/>
    <w:rsid w:val="00730C59"/>
    <w:rsid w:val="0073114C"/>
    <w:rsid w:val="00731834"/>
    <w:rsid w:val="007322B5"/>
    <w:rsid w:val="0073285D"/>
    <w:rsid w:val="007329A5"/>
    <w:rsid w:val="00733094"/>
    <w:rsid w:val="00734610"/>
    <w:rsid w:val="00734C56"/>
    <w:rsid w:val="00734E01"/>
    <w:rsid w:val="007357A3"/>
    <w:rsid w:val="007357E6"/>
    <w:rsid w:val="00736361"/>
    <w:rsid w:val="00736F63"/>
    <w:rsid w:val="0073718F"/>
    <w:rsid w:val="007372AF"/>
    <w:rsid w:val="0073787E"/>
    <w:rsid w:val="00740A25"/>
    <w:rsid w:val="00740C79"/>
    <w:rsid w:val="00740E89"/>
    <w:rsid w:val="007412DC"/>
    <w:rsid w:val="00741AB9"/>
    <w:rsid w:val="00741B7D"/>
    <w:rsid w:val="00741F8B"/>
    <w:rsid w:val="00741F9C"/>
    <w:rsid w:val="00742570"/>
    <w:rsid w:val="0074293C"/>
    <w:rsid w:val="007435C2"/>
    <w:rsid w:val="00744290"/>
    <w:rsid w:val="007442E0"/>
    <w:rsid w:val="007443D5"/>
    <w:rsid w:val="0074461B"/>
    <w:rsid w:val="0074473E"/>
    <w:rsid w:val="00744802"/>
    <w:rsid w:val="0074496C"/>
    <w:rsid w:val="007449D1"/>
    <w:rsid w:val="00745255"/>
    <w:rsid w:val="007453BB"/>
    <w:rsid w:val="00745ECF"/>
    <w:rsid w:val="00746A02"/>
    <w:rsid w:val="00747E46"/>
    <w:rsid w:val="00747F8F"/>
    <w:rsid w:val="007500AA"/>
    <w:rsid w:val="007502B7"/>
    <w:rsid w:val="00750A1A"/>
    <w:rsid w:val="00750CB5"/>
    <w:rsid w:val="00750E3B"/>
    <w:rsid w:val="00751293"/>
    <w:rsid w:val="0075165C"/>
    <w:rsid w:val="007518A1"/>
    <w:rsid w:val="007520EB"/>
    <w:rsid w:val="00752477"/>
    <w:rsid w:val="00752658"/>
    <w:rsid w:val="007529ED"/>
    <w:rsid w:val="00752B1C"/>
    <w:rsid w:val="007530FB"/>
    <w:rsid w:val="0075325F"/>
    <w:rsid w:val="00753695"/>
    <w:rsid w:val="00753B04"/>
    <w:rsid w:val="00753B37"/>
    <w:rsid w:val="00753E75"/>
    <w:rsid w:val="007546EF"/>
    <w:rsid w:val="0075471D"/>
    <w:rsid w:val="00754D27"/>
    <w:rsid w:val="00754F97"/>
    <w:rsid w:val="00755604"/>
    <w:rsid w:val="00755903"/>
    <w:rsid w:val="0075656C"/>
    <w:rsid w:val="00756A07"/>
    <w:rsid w:val="00756D82"/>
    <w:rsid w:val="00756DD7"/>
    <w:rsid w:val="00756E4C"/>
    <w:rsid w:val="00760C8C"/>
    <w:rsid w:val="00761556"/>
    <w:rsid w:val="00761A29"/>
    <w:rsid w:val="00761CA7"/>
    <w:rsid w:val="00761D68"/>
    <w:rsid w:val="00762906"/>
    <w:rsid w:val="00762A54"/>
    <w:rsid w:val="00762F68"/>
    <w:rsid w:val="00763D74"/>
    <w:rsid w:val="00763DFE"/>
    <w:rsid w:val="007658D8"/>
    <w:rsid w:val="00766442"/>
    <w:rsid w:val="00766A98"/>
    <w:rsid w:val="00766DAB"/>
    <w:rsid w:val="00766E77"/>
    <w:rsid w:val="0076730B"/>
    <w:rsid w:val="007679AC"/>
    <w:rsid w:val="00770883"/>
    <w:rsid w:val="00771767"/>
    <w:rsid w:val="007717E7"/>
    <w:rsid w:val="00771DBE"/>
    <w:rsid w:val="007723BE"/>
    <w:rsid w:val="00772883"/>
    <w:rsid w:val="007728F5"/>
    <w:rsid w:val="007739C1"/>
    <w:rsid w:val="00773B0B"/>
    <w:rsid w:val="00773DF9"/>
    <w:rsid w:val="007742C4"/>
    <w:rsid w:val="00774410"/>
    <w:rsid w:val="007744BF"/>
    <w:rsid w:val="0077462C"/>
    <w:rsid w:val="00774DBB"/>
    <w:rsid w:val="00775274"/>
    <w:rsid w:val="00776A07"/>
    <w:rsid w:val="00776B29"/>
    <w:rsid w:val="007773F5"/>
    <w:rsid w:val="00777627"/>
    <w:rsid w:val="00780112"/>
    <w:rsid w:val="00780411"/>
    <w:rsid w:val="00781781"/>
    <w:rsid w:val="00781E30"/>
    <w:rsid w:val="0078382E"/>
    <w:rsid w:val="00783AF1"/>
    <w:rsid w:val="00783C1E"/>
    <w:rsid w:val="007842BB"/>
    <w:rsid w:val="0078431A"/>
    <w:rsid w:val="007851F1"/>
    <w:rsid w:val="00785A91"/>
    <w:rsid w:val="00786B64"/>
    <w:rsid w:val="00786C81"/>
    <w:rsid w:val="00787426"/>
    <w:rsid w:val="0078765A"/>
    <w:rsid w:val="00787D7E"/>
    <w:rsid w:val="00787E01"/>
    <w:rsid w:val="0079006A"/>
    <w:rsid w:val="00791E96"/>
    <w:rsid w:val="0079219B"/>
    <w:rsid w:val="007922E1"/>
    <w:rsid w:val="00792513"/>
    <w:rsid w:val="007936A3"/>
    <w:rsid w:val="00793876"/>
    <w:rsid w:val="00793907"/>
    <w:rsid w:val="00794022"/>
    <w:rsid w:val="007947E6"/>
    <w:rsid w:val="00794923"/>
    <w:rsid w:val="00794E47"/>
    <w:rsid w:val="007950E0"/>
    <w:rsid w:val="007950FC"/>
    <w:rsid w:val="0079614B"/>
    <w:rsid w:val="007962CF"/>
    <w:rsid w:val="00796A63"/>
    <w:rsid w:val="0079701F"/>
    <w:rsid w:val="00797051"/>
    <w:rsid w:val="007975B0"/>
    <w:rsid w:val="007977A2"/>
    <w:rsid w:val="007A0ADA"/>
    <w:rsid w:val="007A0D79"/>
    <w:rsid w:val="007A10F9"/>
    <w:rsid w:val="007A359E"/>
    <w:rsid w:val="007A3795"/>
    <w:rsid w:val="007A38BC"/>
    <w:rsid w:val="007A3CFC"/>
    <w:rsid w:val="007A4184"/>
    <w:rsid w:val="007A4973"/>
    <w:rsid w:val="007A52BB"/>
    <w:rsid w:val="007A54C9"/>
    <w:rsid w:val="007A55A6"/>
    <w:rsid w:val="007A5F1F"/>
    <w:rsid w:val="007A7071"/>
    <w:rsid w:val="007A74E4"/>
    <w:rsid w:val="007A79DC"/>
    <w:rsid w:val="007A7B65"/>
    <w:rsid w:val="007A7CE7"/>
    <w:rsid w:val="007B01B9"/>
    <w:rsid w:val="007B1582"/>
    <w:rsid w:val="007B1EDC"/>
    <w:rsid w:val="007B3049"/>
    <w:rsid w:val="007B329E"/>
    <w:rsid w:val="007B391E"/>
    <w:rsid w:val="007B3F3A"/>
    <w:rsid w:val="007B418D"/>
    <w:rsid w:val="007B48F1"/>
    <w:rsid w:val="007B4A44"/>
    <w:rsid w:val="007B4DFD"/>
    <w:rsid w:val="007B565B"/>
    <w:rsid w:val="007B62DB"/>
    <w:rsid w:val="007B6492"/>
    <w:rsid w:val="007B66DD"/>
    <w:rsid w:val="007B6719"/>
    <w:rsid w:val="007B69A9"/>
    <w:rsid w:val="007B6EBC"/>
    <w:rsid w:val="007B7438"/>
    <w:rsid w:val="007B756E"/>
    <w:rsid w:val="007B7692"/>
    <w:rsid w:val="007C06C1"/>
    <w:rsid w:val="007C09C0"/>
    <w:rsid w:val="007C1008"/>
    <w:rsid w:val="007C11D5"/>
    <w:rsid w:val="007C174B"/>
    <w:rsid w:val="007C193F"/>
    <w:rsid w:val="007C1D0B"/>
    <w:rsid w:val="007C2573"/>
    <w:rsid w:val="007C29A4"/>
    <w:rsid w:val="007C33AC"/>
    <w:rsid w:val="007C349C"/>
    <w:rsid w:val="007C4EB3"/>
    <w:rsid w:val="007C4FF5"/>
    <w:rsid w:val="007C55C8"/>
    <w:rsid w:val="007C5ACC"/>
    <w:rsid w:val="007C615B"/>
    <w:rsid w:val="007C636F"/>
    <w:rsid w:val="007C6605"/>
    <w:rsid w:val="007C6A3B"/>
    <w:rsid w:val="007C6AF0"/>
    <w:rsid w:val="007C707A"/>
    <w:rsid w:val="007C7EE7"/>
    <w:rsid w:val="007C7FBA"/>
    <w:rsid w:val="007D05C5"/>
    <w:rsid w:val="007D1125"/>
    <w:rsid w:val="007D1248"/>
    <w:rsid w:val="007D1484"/>
    <w:rsid w:val="007D1C9C"/>
    <w:rsid w:val="007D2B28"/>
    <w:rsid w:val="007D319C"/>
    <w:rsid w:val="007D3BEB"/>
    <w:rsid w:val="007D467F"/>
    <w:rsid w:val="007D4EEE"/>
    <w:rsid w:val="007D5120"/>
    <w:rsid w:val="007D5291"/>
    <w:rsid w:val="007D5542"/>
    <w:rsid w:val="007D58C7"/>
    <w:rsid w:val="007D67AE"/>
    <w:rsid w:val="007D743F"/>
    <w:rsid w:val="007D754A"/>
    <w:rsid w:val="007D7C2C"/>
    <w:rsid w:val="007E0170"/>
    <w:rsid w:val="007E0492"/>
    <w:rsid w:val="007E060D"/>
    <w:rsid w:val="007E166B"/>
    <w:rsid w:val="007E1E26"/>
    <w:rsid w:val="007E217A"/>
    <w:rsid w:val="007E21FF"/>
    <w:rsid w:val="007E226E"/>
    <w:rsid w:val="007E294A"/>
    <w:rsid w:val="007E2AC2"/>
    <w:rsid w:val="007E2E90"/>
    <w:rsid w:val="007E3304"/>
    <w:rsid w:val="007E34BA"/>
    <w:rsid w:val="007E4195"/>
    <w:rsid w:val="007E46E0"/>
    <w:rsid w:val="007E4DD9"/>
    <w:rsid w:val="007E4ED0"/>
    <w:rsid w:val="007E51C8"/>
    <w:rsid w:val="007E5E76"/>
    <w:rsid w:val="007E748F"/>
    <w:rsid w:val="007E74A1"/>
    <w:rsid w:val="007E74D8"/>
    <w:rsid w:val="007E761E"/>
    <w:rsid w:val="007E775D"/>
    <w:rsid w:val="007E7C03"/>
    <w:rsid w:val="007E7C99"/>
    <w:rsid w:val="007F0E79"/>
    <w:rsid w:val="007F11E6"/>
    <w:rsid w:val="007F1344"/>
    <w:rsid w:val="007F15B4"/>
    <w:rsid w:val="007F1F10"/>
    <w:rsid w:val="007F26B0"/>
    <w:rsid w:val="007F2768"/>
    <w:rsid w:val="007F27AE"/>
    <w:rsid w:val="007F366B"/>
    <w:rsid w:val="007F3CC0"/>
    <w:rsid w:val="007F419F"/>
    <w:rsid w:val="007F442E"/>
    <w:rsid w:val="007F478E"/>
    <w:rsid w:val="007F4898"/>
    <w:rsid w:val="007F4E4F"/>
    <w:rsid w:val="007F5326"/>
    <w:rsid w:val="007F536F"/>
    <w:rsid w:val="007F6D9B"/>
    <w:rsid w:val="007F7159"/>
    <w:rsid w:val="007F71C3"/>
    <w:rsid w:val="007F75DC"/>
    <w:rsid w:val="007F7AF5"/>
    <w:rsid w:val="0080036E"/>
    <w:rsid w:val="00801217"/>
    <w:rsid w:val="008013C6"/>
    <w:rsid w:val="00802BD2"/>
    <w:rsid w:val="008037FF"/>
    <w:rsid w:val="00803855"/>
    <w:rsid w:val="00803DBD"/>
    <w:rsid w:val="00804718"/>
    <w:rsid w:val="0080499B"/>
    <w:rsid w:val="00805013"/>
    <w:rsid w:val="00805567"/>
    <w:rsid w:val="00805876"/>
    <w:rsid w:val="008058BF"/>
    <w:rsid w:val="00805CC7"/>
    <w:rsid w:val="008066C3"/>
    <w:rsid w:val="0080686C"/>
    <w:rsid w:val="008074CE"/>
    <w:rsid w:val="008076BB"/>
    <w:rsid w:val="00807E95"/>
    <w:rsid w:val="008100DF"/>
    <w:rsid w:val="008102CD"/>
    <w:rsid w:val="008102FE"/>
    <w:rsid w:val="00810AE1"/>
    <w:rsid w:val="00810F9B"/>
    <w:rsid w:val="008114F3"/>
    <w:rsid w:val="008116AC"/>
    <w:rsid w:val="00811EA5"/>
    <w:rsid w:val="00812A18"/>
    <w:rsid w:val="00812B88"/>
    <w:rsid w:val="00813183"/>
    <w:rsid w:val="00814C46"/>
    <w:rsid w:val="00814CCF"/>
    <w:rsid w:val="008154E1"/>
    <w:rsid w:val="00816D35"/>
    <w:rsid w:val="00817715"/>
    <w:rsid w:val="00817CC6"/>
    <w:rsid w:val="00821269"/>
    <w:rsid w:val="008215B6"/>
    <w:rsid w:val="00821789"/>
    <w:rsid w:val="00821B4B"/>
    <w:rsid w:val="00822341"/>
    <w:rsid w:val="00822EC1"/>
    <w:rsid w:val="008235B6"/>
    <w:rsid w:val="008248DA"/>
    <w:rsid w:val="00824D6B"/>
    <w:rsid w:val="00825563"/>
    <w:rsid w:val="008257B3"/>
    <w:rsid w:val="00825B9E"/>
    <w:rsid w:val="00825CFB"/>
    <w:rsid w:val="00825E7D"/>
    <w:rsid w:val="008265A2"/>
    <w:rsid w:val="00826C29"/>
    <w:rsid w:val="00826EFF"/>
    <w:rsid w:val="00827A65"/>
    <w:rsid w:val="00827C8D"/>
    <w:rsid w:val="00827E89"/>
    <w:rsid w:val="0083047E"/>
    <w:rsid w:val="008304FA"/>
    <w:rsid w:val="00830792"/>
    <w:rsid w:val="0083081B"/>
    <w:rsid w:val="00831CB0"/>
    <w:rsid w:val="008321E6"/>
    <w:rsid w:val="008324F7"/>
    <w:rsid w:val="00833A53"/>
    <w:rsid w:val="00833C32"/>
    <w:rsid w:val="008340B8"/>
    <w:rsid w:val="0083518F"/>
    <w:rsid w:val="0083563B"/>
    <w:rsid w:val="008358BA"/>
    <w:rsid w:val="00835D31"/>
    <w:rsid w:val="00835E24"/>
    <w:rsid w:val="00836789"/>
    <w:rsid w:val="008367E4"/>
    <w:rsid w:val="00836FAC"/>
    <w:rsid w:val="00837944"/>
    <w:rsid w:val="00837B51"/>
    <w:rsid w:val="008407E0"/>
    <w:rsid w:val="00840CC6"/>
    <w:rsid w:val="0084133D"/>
    <w:rsid w:val="00841913"/>
    <w:rsid w:val="00841B1C"/>
    <w:rsid w:val="00841E16"/>
    <w:rsid w:val="00841FE3"/>
    <w:rsid w:val="0084214C"/>
    <w:rsid w:val="00842183"/>
    <w:rsid w:val="008424E2"/>
    <w:rsid w:val="00842D20"/>
    <w:rsid w:val="00842E18"/>
    <w:rsid w:val="00843B84"/>
    <w:rsid w:val="0084445E"/>
    <w:rsid w:val="00844FC7"/>
    <w:rsid w:val="008456F4"/>
    <w:rsid w:val="0084581E"/>
    <w:rsid w:val="00845B91"/>
    <w:rsid w:val="00845EA7"/>
    <w:rsid w:val="00845FA3"/>
    <w:rsid w:val="0084613E"/>
    <w:rsid w:val="008465C6"/>
    <w:rsid w:val="008467F1"/>
    <w:rsid w:val="00846889"/>
    <w:rsid w:val="00846E22"/>
    <w:rsid w:val="0084722C"/>
    <w:rsid w:val="00847F38"/>
    <w:rsid w:val="008505F3"/>
    <w:rsid w:val="00850F14"/>
    <w:rsid w:val="0085124C"/>
    <w:rsid w:val="008516A5"/>
    <w:rsid w:val="0085183C"/>
    <w:rsid w:val="00851B4A"/>
    <w:rsid w:val="00851FD8"/>
    <w:rsid w:val="0085226C"/>
    <w:rsid w:val="008537BF"/>
    <w:rsid w:val="00853991"/>
    <w:rsid w:val="00854DD4"/>
    <w:rsid w:val="00855DBB"/>
    <w:rsid w:val="008560E0"/>
    <w:rsid w:val="00856533"/>
    <w:rsid w:val="00856727"/>
    <w:rsid w:val="00856A3F"/>
    <w:rsid w:val="00856B61"/>
    <w:rsid w:val="0085765C"/>
    <w:rsid w:val="00857D10"/>
    <w:rsid w:val="00860A3F"/>
    <w:rsid w:val="00861384"/>
    <w:rsid w:val="00861528"/>
    <w:rsid w:val="00861631"/>
    <w:rsid w:val="00861926"/>
    <w:rsid w:val="00861A0E"/>
    <w:rsid w:val="008629C3"/>
    <w:rsid w:val="0086308B"/>
    <w:rsid w:val="00863C23"/>
    <w:rsid w:val="00864550"/>
    <w:rsid w:val="008650A1"/>
    <w:rsid w:val="00865BC7"/>
    <w:rsid w:val="00866718"/>
    <w:rsid w:val="00866C85"/>
    <w:rsid w:val="00867041"/>
    <w:rsid w:val="008672A0"/>
    <w:rsid w:val="00870164"/>
    <w:rsid w:val="00870881"/>
    <w:rsid w:val="0087095C"/>
    <w:rsid w:val="00870DBB"/>
    <w:rsid w:val="00870E7F"/>
    <w:rsid w:val="008715A1"/>
    <w:rsid w:val="0087168D"/>
    <w:rsid w:val="008722AD"/>
    <w:rsid w:val="008724E6"/>
    <w:rsid w:val="008728D7"/>
    <w:rsid w:val="00872A57"/>
    <w:rsid w:val="008736B5"/>
    <w:rsid w:val="008738ED"/>
    <w:rsid w:val="00873C0B"/>
    <w:rsid w:val="00873DE2"/>
    <w:rsid w:val="00874F8D"/>
    <w:rsid w:val="00875733"/>
    <w:rsid w:val="0087599B"/>
    <w:rsid w:val="00875A01"/>
    <w:rsid w:val="00875E77"/>
    <w:rsid w:val="0087605E"/>
    <w:rsid w:val="0087628E"/>
    <w:rsid w:val="0087699E"/>
    <w:rsid w:val="00876E20"/>
    <w:rsid w:val="00876EC0"/>
    <w:rsid w:val="00877D6B"/>
    <w:rsid w:val="00877E29"/>
    <w:rsid w:val="008805D1"/>
    <w:rsid w:val="00880E83"/>
    <w:rsid w:val="0088177F"/>
    <w:rsid w:val="00881CE0"/>
    <w:rsid w:val="00882000"/>
    <w:rsid w:val="00882323"/>
    <w:rsid w:val="00882684"/>
    <w:rsid w:val="008828E4"/>
    <w:rsid w:val="00883A13"/>
    <w:rsid w:val="008841DA"/>
    <w:rsid w:val="008842BA"/>
    <w:rsid w:val="008842BB"/>
    <w:rsid w:val="00884C51"/>
    <w:rsid w:val="008852A7"/>
    <w:rsid w:val="00885AB9"/>
    <w:rsid w:val="00885C2B"/>
    <w:rsid w:val="00885E57"/>
    <w:rsid w:val="0088695E"/>
    <w:rsid w:val="00886D3F"/>
    <w:rsid w:val="0088779B"/>
    <w:rsid w:val="00887E6B"/>
    <w:rsid w:val="00887FC9"/>
    <w:rsid w:val="008901BD"/>
    <w:rsid w:val="008901DA"/>
    <w:rsid w:val="0089080E"/>
    <w:rsid w:val="00891494"/>
    <w:rsid w:val="008918AF"/>
    <w:rsid w:val="00891950"/>
    <w:rsid w:val="008922B7"/>
    <w:rsid w:val="008926E6"/>
    <w:rsid w:val="00892990"/>
    <w:rsid w:val="00892EA1"/>
    <w:rsid w:val="00893041"/>
    <w:rsid w:val="00893E60"/>
    <w:rsid w:val="008947CE"/>
    <w:rsid w:val="0089598F"/>
    <w:rsid w:val="00895D3F"/>
    <w:rsid w:val="00896501"/>
    <w:rsid w:val="00897BBC"/>
    <w:rsid w:val="008A0319"/>
    <w:rsid w:val="008A1845"/>
    <w:rsid w:val="008A1F65"/>
    <w:rsid w:val="008A21F8"/>
    <w:rsid w:val="008A2EFD"/>
    <w:rsid w:val="008A34BD"/>
    <w:rsid w:val="008A3C10"/>
    <w:rsid w:val="008A3C23"/>
    <w:rsid w:val="008A4470"/>
    <w:rsid w:val="008A5027"/>
    <w:rsid w:val="008A53C7"/>
    <w:rsid w:val="008A5AAB"/>
    <w:rsid w:val="008A6005"/>
    <w:rsid w:val="008A6525"/>
    <w:rsid w:val="008A68BF"/>
    <w:rsid w:val="008A6F1C"/>
    <w:rsid w:val="008A7485"/>
    <w:rsid w:val="008A74BA"/>
    <w:rsid w:val="008A75C2"/>
    <w:rsid w:val="008A7AF1"/>
    <w:rsid w:val="008A7E84"/>
    <w:rsid w:val="008B04AD"/>
    <w:rsid w:val="008B07EE"/>
    <w:rsid w:val="008B130F"/>
    <w:rsid w:val="008B14A7"/>
    <w:rsid w:val="008B16B5"/>
    <w:rsid w:val="008B239A"/>
    <w:rsid w:val="008B2F82"/>
    <w:rsid w:val="008B3002"/>
    <w:rsid w:val="008B316B"/>
    <w:rsid w:val="008B3B6F"/>
    <w:rsid w:val="008B3C21"/>
    <w:rsid w:val="008B453E"/>
    <w:rsid w:val="008B5510"/>
    <w:rsid w:val="008B5601"/>
    <w:rsid w:val="008B5725"/>
    <w:rsid w:val="008B5782"/>
    <w:rsid w:val="008B63BE"/>
    <w:rsid w:val="008B63C5"/>
    <w:rsid w:val="008B644A"/>
    <w:rsid w:val="008B6929"/>
    <w:rsid w:val="008B6D64"/>
    <w:rsid w:val="008B7C0B"/>
    <w:rsid w:val="008B7D6B"/>
    <w:rsid w:val="008C00F5"/>
    <w:rsid w:val="008C02D2"/>
    <w:rsid w:val="008C0623"/>
    <w:rsid w:val="008C0841"/>
    <w:rsid w:val="008C0D7D"/>
    <w:rsid w:val="008C18D7"/>
    <w:rsid w:val="008C1D24"/>
    <w:rsid w:val="008C319F"/>
    <w:rsid w:val="008C340E"/>
    <w:rsid w:val="008C3901"/>
    <w:rsid w:val="008C3C7D"/>
    <w:rsid w:val="008C4744"/>
    <w:rsid w:val="008C59D5"/>
    <w:rsid w:val="008C5C73"/>
    <w:rsid w:val="008C634A"/>
    <w:rsid w:val="008C65AF"/>
    <w:rsid w:val="008C6868"/>
    <w:rsid w:val="008C6959"/>
    <w:rsid w:val="008C6CC4"/>
    <w:rsid w:val="008C701D"/>
    <w:rsid w:val="008C7769"/>
    <w:rsid w:val="008D00AF"/>
    <w:rsid w:val="008D0644"/>
    <w:rsid w:val="008D06FD"/>
    <w:rsid w:val="008D0901"/>
    <w:rsid w:val="008D0BA3"/>
    <w:rsid w:val="008D0E92"/>
    <w:rsid w:val="008D158C"/>
    <w:rsid w:val="008D1E21"/>
    <w:rsid w:val="008D2103"/>
    <w:rsid w:val="008D2792"/>
    <w:rsid w:val="008D2F3C"/>
    <w:rsid w:val="008D3196"/>
    <w:rsid w:val="008D3BDC"/>
    <w:rsid w:val="008D402A"/>
    <w:rsid w:val="008D4A1A"/>
    <w:rsid w:val="008D4D82"/>
    <w:rsid w:val="008D5018"/>
    <w:rsid w:val="008D571D"/>
    <w:rsid w:val="008D5D0E"/>
    <w:rsid w:val="008D5F75"/>
    <w:rsid w:val="008D629F"/>
    <w:rsid w:val="008D6F11"/>
    <w:rsid w:val="008D70D7"/>
    <w:rsid w:val="008D7304"/>
    <w:rsid w:val="008D7873"/>
    <w:rsid w:val="008D7FA0"/>
    <w:rsid w:val="008E09EE"/>
    <w:rsid w:val="008E0DF7"/>
    <w:rsid w:val="008E1543"/>
    <w:rsid w:val="008E19FF"/>
    <w:rsid w:val="008E1C63"/>
    <w:rsid w:val="008E2664"/>
    <w:rsid w:val="008E26E5"/>
    <w:rsid w:val="008E28C8"/>
    <w:rsid w:val="008E3131"/>
    <w:rsid w:val="008E320E"/>
    <w:rsid w:val="008E4261"/>
    <w:rsid w:val="008E48D0"/>
    <w:rsid w:val="008E4969"/>
    <w:rsid w:val="008E4A37"/>
    <w:rsid w:val="008E4AC3"/>
    <w:rsid w:val="008E4CF7"/>
    <w:rsid w:val="008E52F7"/>
    <w:rsid w:val="008E5A2E"/>
    <w:rsid w:val="008E60D8"/>
    <w:rsid w:val="008E6274"/>
    <w:rsid w:val="008E662C"/>
    <w:rsid w:val="008E6E01"/>
    <w:rsid w:val="008E72CA"/>
    <w:rsid w:val="008E777C"/>
    <w:rsid w:val="008E7EBE"/>
    <w:rsid w:val="008F000C"/>
    <w:rsid w:val="008F0203"/>
    <w:rsid w:val="008F0534"/>
    <w:rsid w:val="008F0A60"/>
    <w:rsid w:val="008F0C22"/>
    <w:rsid w:val="008F1876"/>
    <w:rsid w:val="008F1F0C"/>
    <w:rsid w:val="008F23D6"/>
    <w:rsid w:val="008F2C68"/>
    <w:rsid w:val="008F31AB"/>
    <w:rsid w:val="008F366C"/>
    <w:rsid w:val="008F369C"/>
    <w:rsid w:val="008F4203"/>
    <w:rsid w:val="008F44B1"/>
    <w:rsid w:val="008F4F7F"/>
    <w:rsid w:val="008F5BFB"/>
    <w:rsid w:val="008F6D7B"/>
    <w:rsid w:val="008F6F42"/>
    <w:rsid w:val="008F7243"/>
    <w:rsid w:val="008F7441"/>
    <w:rsid w:val="008F763A"/>
    <w:rsid w:val="008F76D5"/>
    <w:rsid w:val="008F7AE8"/>
    <w:rsid w:val="008F7F9E"/>
    <w:rsid w:val="0090043F"/>
    <w:rsid w:val="009004D1"/>
    <w:rsid w:val="00900B32"/>
    <w:rsid w:val="00900F0E"/>
    <w:rsid w:val="00902181"/>
    <w:rsid w:val="0090232C"/>
    <w:rsid w:val="009024C5"/>
    <w:rsid w:val="009025E1"/>
    <w:rsid w:val="0090302E"/>
    <w:rsid w:val="009032C0"/>
    <w:rsid w:val="00903DA4"/>
    <w:rsid w:val="00903DA8"/>
    <w:rsid w:val="00903F31"/>
    <w:rsid w:val="009040F3"/>
    <w:rsid w:val="009065DB"/>
    <w:rsid w:val="009070F3"/>
    <w:rsid w:val="009073A2"/>
    <w:rsid w:val="009075DF"/>
    <w:rsid w:val="0091006A"/>
    <w:rsid w:val="00910F44"/>
    <w:rsid w:val="0091154A"/>
    <w:rsid w:val="00911E7B"/>
    <w:rsid w:val="0091279C"/>
    <w:rsid w:val="00913292"/>
    <w:rsid w:val="0091340D"/>
    <w:rsid w:val="00913AC4"/>
    <w:rsid w:val="00914426"/>
    <w:rsid w:val="00914BD6"/>
    <w:rsid w:val="00914E5F"/>
    <w:rsid w:val="00915838"/>
    <w:rsid w:val="009162DB"/>
    <w:rsid w:val="00916934"/>
    <w:rsid w:val="00916E17"/>
    <w:rsid w:val="00916EE7"/>
    <w:rsid w:val="00917069"/>
    <w:rsid w:val="009172AD"/>
    <w:rsid w:val="00917EF2"/>
    <w:rsid w:val="00917F41"/>
    <w:rsid w:val="00917F5D"/>
    <w:rsid w:val="00920014"/>
    <w:rsid w:val="00920FB8"/>
    <w:rsid w:val="00921879"/>
    <w:rsid w:val="00921E37"/>
    <w:rsid w:val="009227B8"/>
    <w:rsid w:val="00923210"/>
    <w:rsid w:val="00923426"/>
    <w:rsid w:val="0092367E"/>
    <w:rsid w:val="00923B5F"/>
    <w:rsid w:val="00924527"/>
    <w:rsid w:val="0092457C"/>
    <w:rsid w:val="00924597"/>
    <w:rsid w:val="0092465F"/>
    <w:rsid w:val="009249DD"/>
    <w:rsid w:val="00924C31"/>
    <w:rsid w:val="00925320"/>
    <w:rsid w:val="009254E4"/>
    <w:rsid w:val="0092634A"/>
    <w:rsid w:val="009274B4"/>
    <w:rsid w:val="009275FB"/>
    <w:rsid w:val="00927BEA"/>
    <w:rsid w:val="00927F3C"/>
    <w:rsid w:val="00930E6A"/>
    <w:rsid w:val="00931104"/>
    <w:rsid w:val="009314EC"/>
    <w:rsid w:val="00931A12"/>
    <w:rsid w:val="009323E1"/>
    <w:rsid w:val="00933FBE"/>
    <w:rsid w:val="009348CE"/>
    <w:rsid w:val="00934B0A"/>
    <w:rsid w:val="00934BE7"/>
    <w:rsid w:val="00935358"/>
    <w:rsid w:val="009353D2"/>
    <w:rsid w:val="00935565"/>
    <w:rsid w:val="00935A59"/>
    <w:rsid w:val="00935D71"/>
    <w:rsid w:val="00935F4A"/>
    <w:rsid w:val="009363E7"/>
    <w:rsid w:val="0093686B"/>
    <w:rsid w:val="00936A81"/>
    <w:rsid w:val="00937D27"/>
    <w:rsid w:val="00937D87"/>
    <w:rsid w:val="00940A01"/>
    <w:rsid w:val="00940DB6"/>
    <w:rsid w:val="00940DE7"/>
    <w:rsid w:val="00941C73"/>
    <w:rsid w:val="009426DB"/>
    <w:rsid w:val="00942DE6"/>
    <w:rsid w:val="00944055"/>
    <w:rsid w:val="00944512"/>
    <w:rsid w:val="009446E7"/>
    <w:rsid w:val="00944B44"/>
    <w:rsid w:val="00944E24"/>
    <w:rsid w:val="009451BF"/>
    <w:rsid w:val="009454D4"/>
    <w:rsid w:val="00945F86"/>
    <w:rsid w:val="009460CC"/>
    <w:rsid w:val="0094635B"/>
    <w:rsid w:val="009474A5"/>
    <w:rsid w:val="009475D4"/>
    <w:rsid w:val="0094768F"/>
    <w:rsid w:val="00947CC3"/>
    <w:rsid w:val="0095009A"/>
    <w:rsid w:val="00950A79"/>
    <w:rsid w:val="00950E91"/>
    <w:rsid w:val="00950EB9"/>
    <w:rsid w:val="009513E2"/>
    <w:rsid w:val="009517FA"/>
    <w:rsid w:val="00951B14"/>
    <w:rsid w:val="00951DCA"/>
    <w:rsid w:val="00951E3F"/>
    <w:rsid w:val="009522E7"/>
    <w:rsid w:val="009528DD"/>
    <w:rsid w:val="00952BDB"/>
    <w:rsid w:val="009530D2"/>
    <w:rsid w:val="00953654"/>
    <w:rsid w:val="009543FD"/>
    <w:rsid w:val="009547DA"/>
    <w:rsid w:val="00954C3E"/>
    <w:rsid w:val="00954FD0"/>
    <w:rsid w:val="00955039"/>
    <w:rsid w:val="00955744"/>
    <w:rsid w:val="009559E0"/>
    <w:rsid w:val="00955A5E"/>
    <w:rsid w:val="00956407"/>
    <w:rsid w:val="00956996"/>
    <w:rsid w:val="009569AE"/>
    <w:rsid w:val="00956B03"/>
    <w:rsid w:val="00957195"/>
    <w:rsid w:val="00957F0A"/>
    <w:rsid w:val="00961CF5"/>
    <w:rsid w:val="00961EDE"/>
    <w:rsid w:val="00961FEF"/>
    <w:rsid w:val="00962738"/>
    <w:rsid w:val="00962C15"/>
    <w:rsid w:val="00963010"/>
    <w:rsid w:val="009631A3"/>
    <w:rsid w:val="0096325C"/>
    <w:rsid w:val="0096426B"/>
    <w:rsid w:val="0096582D"/>
    <w:rsid w:val="00965AFC"/>
    <w:rsid w:val="00965F2F"/>
    <w:rsid w:val="009661C7"/>
    <w:rsid w:val="00966351"/>
    <w:rsid w:val="009668B7"/>
    <w:rsid w:val="00966C47"/>
    <w:rsid w:val="00966E35"/>
    <w:rsid w:val="00967FD9"/>
    <w:rsid w:val="009702E7"/>
    <w:rsid w:val="009703D5"/>
    <w:rsid w:val="009705E0"/>
    <w:rsid w:val="009706E1"/>
    <w:rsid w:val="00970A10"/>
    <w:rsid w:val="00970B11"/>
    <w:rsid w:val="009722E3"/>
    <w:rsid w:val="00973178"/>
    <w:rsid w:val="009732F9"/>
    <w:rsid w:val="00973F0D"/>
    <w:rsid w:val="00974F64"/>
    <w:rsid w:val="009768C2"/>
    <w:rsid w:val="009769FD"/>
    <w:rsid w:val="00977967"/>
    <w:rsid w:val="00977D01"/>
    <w:rsid w:val="00977D28"/>
    <w:rsid w:val="00977FBB"/>
    <w:rsid w:val="0098124E"/>
    <w:rsid w:val="00981B9F"/>
    <w:rsid w:val="00981E81"/>
    <w:rsid w:val="009820A9"/>
    <w:rsid w:val="00982549"/>
    <w:rsid w:val="00982748"/>
    <w:rsid w:val="009828AA"/>
    <w:rsid w:val="00982C89"/>
    <w:rsid w:val="00982CE0"/>
    <w:rsid w:val="009849B7"/>
    <w:rsid w:val="00984EBE"/>
    <w:rsid w:val="00985654"/>
    <w:rsid w:val="009863EE"/>
    <w:rsid w:val="009865A4"/>
    <w:rsid w:val="0098725E"/>
    <w:rsid w:val="00987521"/>
    <w:rsid w:val="00987FA3"/>
    <w:rsid w:val="00990213"/>
    <w:rsid w:val="009902DC"/>
    <w:rsid w:val="00990A90"/>
    <w:rsid w:val="009918AA"/>
    <w:rsid w:val="00991CE0"/>
    <w:rsid w:val="00992469"/>
    <w:rsid w:val="00992D1A"/>
    <w:rsid w:val="00993B99"/>
    <w:rsid w:val="00994312"/>
    <w:rsid w:val="00994C1F"/>
    <w:rsid w:val="00994DD9"/>
    <w:rsid w:val="00995650"/>
    <w:rsid w:val="0099583C"/>
    <w:rsid w:val="0099588A"/>
    <w:rsid w:val="00995BB6"/>
    <w:rsid w:val="00995C7D"/>
    <w:rsid w:val="00996621"/>
    <w:rsid w:val="009966D7"/>
    <w:rsid w:val="00996D2B"/>
    <w:rsid w:val="00996DB7"/>
    <w:rsid w:val="00997291"/>
    <w:rsid w:val="009977FB"/>
    <w:rsid w:val="009A0266"/>
    <w:rsid w:val="009A0483"/>
    <w:rsid w:val="009A16FE"/>
    <w:rsid w:val="009A2C8B"/>
    <w:rsid w:val="009A3ECC"/>
    <w:rsid w:val="009A3FA1"/>
    <w:rsid w:val="009A46B4"/>
    <w:rsid w:val="009A4908"/>
    <w:rsid w:val="009A4C31"/>
    <w:rsid w:val="009A4F47"/>
    <w:rsid w:val="009A4F94"/>
    <w:rsid w:val="009A6155"/>
    <w:rsid w:val="009B04A8"/>
    <w:rsid w:val="009B0C2A"/>
    <w:rsid w:val="009B1027"/>
    <w:rsid w:val="009B2742"/>
    <w:rsid w:val="009B29C9"/>
    <w:rsid w:val="009B320C"/>
    <w:rsid w:val="009B4092"/>
    <w:rsid w:val="009B4AAB"/>
    <w:rsid w:val="009B5264"/>
    <w:rsid w:val="009B5930"/>
    <w:rsid w:val="009B5ED4"/>
    <w:rsid w:val="009B62C2"/>
    <w:rsid w:val="009B6868"/>
    <w:rsid w:val="009B68E8"/>
    <w:rsid w:val="009B6992"/>
    <w:rsid w:val="009B781B"/>
    <w:rsid w:val="009C0135"/>
    <w:rsid w:val="009C1383"/>
    <w:rsid w:val="009C1700"/>
    <w:rsid w:val="009C1C35"/>
    <w:rsid w:val="009C1C4C"/>
    <w:rsid w:val="009C2356"/>
    <w:rsid w:val="009C2385"/>
    <w:rsid w:val="009C267A"/>
    <w:rsid w:val="009C33C7"/>
    <w:rsid w:val="009C3EC7"/>
    <w:rsid w:val="009C3FA8"/>
    <w:rsid w:val="009C45A9"/>
    <w:rsid w:val="009C4957"/>
    <w:rsid w:val="009C57E9"/>
    <w:rsid w:val="009C58EE"/>
    <w:rsid w:val="009C5B71"/>
    <w:rsid w:val="009C6092"/>
    <w:rsid w:val="009C71C8"/>
    <w:rsid w:val="009C7750"/>
    <w:rsid w:val="009C7973"/>
    <w:rsid w:val="009D079D"/>
    <w:rsid w:val="009D0C0E"/>
    <w:rsid w:val="009D17C4"/>
    <w:rsid w:val="009D1AD5"/>
    <w:rsid w:val="009D2124"/>
    <w:rsid w:val="009D222B"/>
    <w:rsid w:val="009D27EB"/>
    <w:rsid w:val="009D3C8E"/>
    <w:rsid w:val="009D467A"/>
    <w:rsid w:val="009D58F2"/>
    <w:rsid w:val="009D62AB"/>
    <w:rsid w:val="009D6EB1"/>
    <w:rsid w:val="009D6FB4"/>
    <w:rsid w:val="009D70F0"/>
    <w:rsid w:val="009D70F7"/>
    <w:rsid w:val="009D7379"/>
    <w:rsid w:val="009D7666"/>
    <w:rsid w:val="009D7ACC"/>
    <w:rsid w:val="009E0088"/>
    <w:rsid w:val="009E07CF"/>
    <w:rsid w:val="009E081E"/>
    <w:rsid w:val="009E0A56"/>
    <w:rsid w:val="009E0CA5"/>
    <w:rsid w:val="009E17F8"/>
    <w:rsid w:val="009E26D7"/>
    <w:rsid w:val="009E2B0D"/>
    <w:rsid w:val="009E3133"/>
    <w:rsid w:val="009E31A7"/>
    <w:rsid w:val="009E39D6"/>
    <w:rsid w:val="009E39E9"/>
    <w:rsid w:val="009E409B"/>
    <w:rsid w:val="009E483F"/>
    <w:rsid w:val="009E49DD"/>
    <w:rsid w:val="009E50FF"/>
    <w:rsid w:val="009E5858"/>
    <w:rsid w:val="009E5E42"/>
    <w:rsid w:val="009E605D"/>
    <w:rsid w:val="009E60FE"/>
    <w:rsid w:val="009E643F"/>
    <w:rsid w:val="009E6AA4"/>
    <w:rsid w:val="009E6D0F"/>
    <w:rsid w:val="009E6EE4"/>
    <w:rsid w:val="009E75A0"/>
    <w:rsid w:val="009E791A"/>
    <w:rsid w:val="009E7CAA"/>
    <w:rsid w:val="009F09FA"/>
    <w:rsid w:val="009F1B0A"/>
    <w:rsid w:val="009F2AF1"/>
    <w:rsid w:val="009F47FC"/>
    <w:rsid w:val="009F4B54"/>
    <w:rsid w:val="009F4D7F"/>
    <w:rsid w:val="009F4F5F"/>
    <w:rsid w:val="009F53F6"/>
    <w:rsid w:val="009F58C8"/>
    <w:rsid w:val="009F5AE8"/>
    <w:rsid w:val="009F5B2B"/>
    <w:rsid w:val="009F5DE0"/>
    <w:rsid w:val="009F6F08"/>
    <w:rsid w:val="009F7048"/>
    <w:rsid w:val="009F764B"/>
    <w:rsid w:val="009F7DD0"/>
    <w:rsid w:val="00A0014E"/>
    <w:rsid w:val="00A00623"/>
    <w:rsid w:val="00A00D00"/>
    <w:rsid w:val="00A01599"/>
    <w:rsid w:val="00A02006"/>
    <w:rsid w:val="00A02453"/>
    <w:rsid w:val="00A037D2"/>
    <w:rsid w:val="00A03EBA"/>
    <w:rsid w:val="00A0441F"/>
    <w:rsid w:val="00A04613"/>
    <w:rsid w:val="00A0554E"/>
    <w:rsid w:val="00A05673"/>
    <w:rsid w:val="00A059E7"/>
    <w:rsid w:val="00A071CE"/>
    <w:rsid w:val="00A07E47"/>
    <w:rsid w:val="00A07FC4"/>
    <w:rsid w:val="00A10067"/>
    <w:rsid w:val="00A1012C"/>
    <w:rsid w:val="00A101A7"/>
    <w:rsid w:val="00A101BE"/>
    <w:rsid w:val="00A103AB"/>
    <w:rsid w:val="00A105D9"/>
    <w:rsid w:val="00A10A2D"/>
    <w:rsid w:val="00A11C79"/>
    <w:rsid w:val="00A11E50"/>
    <w:rsid w:val="00A11FDC"/>
    <w:rsid w:val="00A12473"/>
    <w:rsid w:val="00A13404"/>
    <w:rsid w:val="00A136F7"/>
    <w:rsid w:val="00A142C1"/>
    <w:rsid w:val="00A1438F"/>
    <w:rsid w:val="00A1454F"/>
    <w:rsid w:val="00A147CE"/>
    <w:rsid w:val="00A14963"/>
    <w:rsid w:val="00A14EE2"/>
    <w:rsid w:val="00A14FA1"/>
    <w:rsid w:val="00A15095"/>
    <w:rsid w:val="00A15AF2"/>
    <w:rsid w:val="00A1618C"/>
    <w:rsid w:val="00A16B48"/>
    <w:rsid w:val="00A16B9D"/>
    <w:rsid w:val="00A16DDC"/>
    <w:rsid w:val="00A170DC"/>
    <w:rsid w:val="00A17982"/>
    <w:rsid w:val="00A17B98"/>
    <w:rsid w:val="00A206C5"/>
    <w:rsid w:val="00A207A0"/>
    <w:rsid w:val="00A20CC9"/>
    <w:rsid w:val="00A20F60"/>
    <w:rsid w:val="00A213F8"/>
    <w:rsid w:val="00A215BA"/>
    <w:rsid w:val="00A217C8"/>
    <w:rsid w:val="00A217F5"/>
    <w:rsid w:val="00A21C01"/>
    <w:rsid w:val="00A21FA2"/>
    <w:rsid w:val="00A22079"/>
    <w:rsid w:val="00A227AB"/>
    <w:rsid w:val="00A22984"/>
    <w:rsid w:val="00A2364E"/>
    <w:rsid w:val="00A23DCC"/>
    <w:rsid w:val="00A23E69"/>
    <w:rsid w:val="00A2400C"/>
    <w:rsid w:val="00A24589"/>
    <w:rsid w:val="00A24AC1"/>
    <w:rsid w:val="00A253FC"/>
    <w:rsid w:val="00A254B6"/>
    <w:rsid w:val="00A25CCB"/>
    <w:rsid w:val="00A27846"/>
    <w:rsid w:val="00A27AC2"/>
    <w:rsid w:val="00A27DBD"/>
    <w:rsid w:val="00A30383"/>
    <w:rsid w:val="00A31FD7"/>
    <w:rsid w:val="00A33FE1"/>
    <w:rsid w:val="00A34276"/>
    <w:rsid w:val="00A3469B"/>
    <w:rsid w:val="00A3473E"/>
    <w:rsid w:val="00A3530E"/>
    <w:rsid w:val="00A360C7"/>
    <w:rsid w:val="00A36119"/>
    <w:rsid w:val="00A36A82"/>
    <w:rsid w:val="00A36D6F"/>
    <w:rsid w:val="00A37465"/>
    <w:rsid w:val="00A37B10"/>
    <w:rsid w:val="00A37B48"/>
    <w:rsid w:val="00A37B88"/>
    <w:rsid w:val="00A37D2B"/>
    <w:rsid w:val="00A37F52"/>
    <w:rsid w:val="00A4040B"/>
    <w:rsid w:val="00A4094A"/>
    <w:rsid w:val="00A40D54"/>
    <w:rsid w:val="00A4142E"/>
    <w:rsid w:val="00A416CA"/>
    <w:rsid w:val="00A4245A"/>
    <w:rsid w:val="00A430B6"/>
    <w:rsid w:val="00A435E6"/>
    <w:rsid w:val="00A43F49"/>
    <w:rsid w:val="00A44458"/>
    <w:rsid w:val="00A4449B"/>
    <w:rsid w:val="00A4560F"/>
    <w:rsid w:val="00A45D68"/>
    <w:rsid w:val="00A4698C"/>
    <w:rsid w:val="00A46BF3"/>
    <w:rsid w:val="00A50492"/>
    <w:rsid w:val="00A50C02"/>
    <w:rsid w:val="00A51585"/>
    <w:rsid w:val="00A520BD"/>
    <w:rsid w:val="00A5270A"/>
    <w:rsid w:val="00A52A78"/>
    <w:rsid w:val="00A52D9E"/>
    <w:rsid w:val="00A52DB7"/>
    <w:rsid w:val="00A53020"/>
    <w:rsid w:val="00A53202"/>
    <w:rsid w:val="00A535AC"/>
    <w:rsid w:val="00A53EF4"/>
    <w:rsid w:val="00A54141"/>
    <w:rsid w:val="00A5471F"/>
    <w:rsid w:val="00A5492D"/>
    <w:rsid w:val="00A55FF9"/>
    <w:rsid w:val="00A56951"/>
    <w:rsid w:val="00A576C8"/>
    <w:rsid w:val="00A577F1"/>
    <w:rsid w:val="00A57BAF"/>
    <w:rsid w:val="00A57F96"/>
    <w:rsid w:val="00A602E0"/>
    <w:rsid w:val="00A60B32"/>
    <w:rsid w:val="00A60E99"/>
    <w:rsid w:val="00A622A7"/>
    <w:rsid w:val="00A625D2"/>
    <w:rsid w:val="00A62FF9"/>
    <w:rsid w:val="00A63072"/>
    <w:rsid w:val="00A630EC"/>
    <w:rsid w:val="00A63190"/>
    <w:rsid w:val="00A640EA"/>
    <w:rsid w:val="00A6431B"/>
    <w:rsid w:val="00A644DA"/>
    <w:rsid w:val="00A649C8"/>
    <w:rsid w:val="00A64EB6"/>
    <w:rsid w:val="00A64EEA"/>
    <w:rsid w:val="00A66217"/>
    <w:rsid w:val="00A671CF"/>
    <w:rsid w:val="00A677D0"/>
    <w:rsid w:val="00A70351"/>
    <w:rsid w:val="00A72276"/>
    <w:rsid w:val="00A726E7"/>
    <w:rsid w:val="00A73856"/>
    <w:rsid w:val="00A73D06"/>
    <w:rsid w:val="00A73E47"/>
    <w:rsid w:val="00A74049"/>
    <w:rsid w:val="00A7432B"/>
    <w:rsid w:val="00A747C0"/>
    <w:rsid w:val="00A7492C"/>
    <w:rsid w:val="00A74E22"/>
    <w:rsid w:val="00A753FB"/>
    <w:rsid w:val="00A754AD"/>
    <w:rsid w:val="00A75CDE"/>
    <w:rsid w:val="00A76153"/>
    <w:rsid w:val="00A761D5"/>
    <w:rsid w:val="00A761E7"/>
    <w:rsid w:val="00A76C32"/>
    <w:rsid w:val="00A76DDF"/>
    <w:rsid w:val="00A776DE"/>
    <w:rsid w:val="00A7777A"/>
    <w:rsid w:val="00A777DA"/>
    <w:rsid w:val="00A77D06"/>
    <w:rsid w:val="00A8027D"/>
    <w:rsid w:val="00A80C1E"/>
    <w:rsid w:val="00A80F1A"/>
    <w:rsid w:val="00A821EC"/>
    <w:rsid w:val="00A82473"/>
    <w:rsid w:val="00A82906"/>
    <w:rsid w:val="00A83B68"/>
    <w:rsid w:val="00A841FB"/>
    <w:rsid w:val="00A84B87"/>
    <w:rsid w:val="00A84E28"/>
    <w:rsid w:val="00A858C8"/>
    <w:rsid w:val="00A85909"/>
    <w:rsid w:val="00A86A63"/>
    <w:rsid w:val="00A86E58"/>
    <w:rsid w:val="00A87389"/>
    <w:rsid w:val="00A87937"/>
    <w:rsid w:val="00A90097"/>
    <w:rsid w:val="00A9041C"/>
    <w:rsid w:val="00A909B6"/>
    <w:rsid w:val="00A90A75"/>
    <w:rsid w:val="00A90DB8"/>
    <w:rsid w:val="00A90F3D"/>
    <w:rsid w:val="00A9194F"/>
    <w:rsid w:val="00A91FBB"/>
    <w:rsid w:val="00A927AD"/>
    <w:rsid w:val="00A92895"/>
    <w:rsid w:val="00A92BB5"/>
    <w:rsid w:val="00A92F29"/>
    <w:rsid w:val="00A93900"/>
    <w:rsid w:val="00A94479"/>
    <w:rsid w:val="00A94849"/>
    <w:rsid w:val="00A94BD8"/>
    <w:rsid w:val="00A94FB0"/>
    <w:rsid w:val="00A95989"/>
    <w:rsid w:val="00A95D51"/>
    <w:rsid w:val="00A95E0F"/>
    <w:rsid w:val="00A9665B"/>
    <w:rsid w:val="00A97127"/>
    <w:rsid w:val="00A97464"/>
    <w:rsid w:val="00A97BC7"/>
    <w:rsid w:val="00A97C09"/>
    <w:rsid w:val="00AA0518"/>
    <w:rsid w:val="00AA0553"/>
    <w:rsid w:val="00AA1B34"/>
    <w:rsid w:val="00AA1E32"/>
    <w:rsid w:val="00AA281C"/>
    <w:rsid w:val="00AA286B"/>
    <w:rsid w:val="00AA2FB5"/>
    <w:rsid w:val="00AA353F"/>
    <w:rsid w:val="00AA3731"/>
    <w:rsid w:val="00AA37AA"/>
    <w:rsid w:val="00AA3A01"/>
    <w:rsid w:val="00AA3C2D"/>
    <w:rsid w:val="00AA3E13"/>
    <w:rsid w:val="00AA41F7"/>
    <w:rsid w:val="00AA4636"/>
    <w:rsid w:val="00AA481F"/>
    <w:rsid w:val="00AA4991"/>
    <w:rsid w:val="00AA4EE7"/>
    <w:rsid w:val="00AA62B0"/>
    <w:rsid w:val="00AA62C6"/>
    <w:rsid w:val="00AA68BD"/>
    <w:rsid w:val="00AA7044"/>
    <w:rsid w:val="00AA735F"/>
    <w:rsid w:val="00AA7991"/>
    <w:rsid w:val="00AA7ACD"/>
    <w:rsid w:val="00AA7C04"/>
    <w:rsid w:val="00AA7DA7"/>
    <w:rsid w:val="00AB00CB"/>
    <w:rsid w:val="00AB02D9"/>
    <w:rsid w:val="00AB0740"/>
    <w:rsid w:val="00AB0918"/>
    <w:rsid w:val="00AB0953"/>
    <w:rsid w:val="00AB0D3D"/>
    <w:rsid w:val="00AB150A"/>
    <w:rsid w:val="00AB16A7"/>
    <w:rsid w:val="00AB1BD0"/>
    <w:rsid w:val="00AB1F1F"/>
    <w:rsid w:val="00AB2610"/>
    <w:rsid w:val="00AB2953"/>
    <w:rsid w:val="00AB313F"/>
    <w:rsid w:val="00AB321A"/>
    <w:rsid w:val="00AB3927"/>
    <w:rsid w:val="00AB3990"/>
    <w:rsid w:val="00AB3B3F"/>
    <w:rsid w:val="00AB3C50"/>
    <w:rsid w:val="00AB3D8A"/>
    <w:rsid w:val="00AB4428"/>
    <w:rsid w:val="00AB45C4"/>
    <w:rsid w:val="00AB5489"/>
    <w:rsid w:val="00AB5D99"/>
    <w:rsid w:val="00AB614E"/>
    <w:rsid w:val="00AB7221"/>
    <w:rsid w:val="00AB75A3"/>
    <w:rsid w:val="00AB7BA0"/>
    <w:rsid w:val="00AC1815"/>
    <w:rsid w:val="00AC1EE2"/>
    <w:rsid w:val="00AC312F"/>
    <w:rsid w:val="00AC3AA6"/>
    <w:rsid w:val="00AC3E7D"/>
    <w:rsid w:val="00AC4A11"/>
    <w:rsid w:val="00AC5330"/>
    <w:rsid w:val="00AC552A"/>
    <w:rsid w:val="00AC5594"/>
    <w:rsid w:val="00AC595A"/>
    <w:rsid w:val="00AC5B6A"/>
    <w:rsid w:val="00AC6BDC"/>
    <w:rsid w:val="00AC6C71"/>
    <w:rsid w:val="00AC78BB"/>
    <w:rsid w:val="00AD014D"/>
    <w:rsid w:val="00AD0FFC"/>
    <w:rsid w:val="00AD11AF"/>
    <w:rsid w:val="00AD1802"/>
    <w:rsid w:val="00AD1929"/>
    <w:rsid w:val="00AD1EA2"/>
    <w:rsid w:val="00AD1F6D"/>
    <w:rsid w:val="00AD24E4"/>
    <w:rsid w:val="00AD2DFA"/>
    <w:rsid w:val="00AD3C94"/>
    <w:rsid w:val="00AD567B"/>
    <w:rsid w:val="00AD59AA"/>
    <w:rsid w:val="00AD5FE3"/>
    <w:rsid w:val="00AD6525"/>
    <w:rsid w:val="00AD67E2"/>
    <w:rsid w:val="00AD734D"/>
    <w:rsid w:val="00AD76EB"/>
    <w:rsid w:val="00AD77F0"/>
    <w:rsid w:val="00AE0A94"/>
    <w:rsid w:val="00AE0BE3"/>
    <w:rsid w:val="00AE1D27"/>
    <w:rsid w:val="00AE1F04"/>
    <w:rsid w:val="00AE218C"/>
    <w:rsid w:val="00AE2A3B"/>
    <w:rsid w:val="00AE2AEA"/>
    <w:rsid w:val="00AE2D7F"/>
    <w:rsid w:val="00AE332C"/>
    <w:rsid w:val="00AE3B22"/>
    <w:rsid w:val="00AE3EC3"/>
    <w:rsid w:val="00AE3FF3"/>
    <w:rsid w:val="00AE5805"/>
    <w:rsid w:val="00AE5958"/>
    <w:rsid w:val="00AE5D18"/>
    <w:rsid w:val="00AE6344"/>
    <w:rsid w:val="00AE653D"/>
    <w:rsid w:val="00AE68A3"/>
    <w:rsid w:val="00AE7236"/>
    <w:rsid w:val="00AE7266"/>
    <w:rsid w:val="00AF0A5A"/>
    <w:rsid w:val="00AF110F"/>
    <w:rsid w:val="00AF1311"/>
    <w:rsid w:val="00AF1EE5"/>
    <w:rsid w:val="00AF2EFF"/>
    <w:rsid w:val="00AF3561"/>
    <w:rsid w:val="00AF3653"/>
    <w:rsid w:val="00AF36C9"/>
    <w:rsid w:val="00AF3BD9"/>
    <w:rsid w:val="00AF48DA"/>
    <w:rsid w:val="00AF4E12"/>
    <w:rsid w:val="00AF5026"/>
    <w:rsid w:val="00AF584B"/>
    <w:rsid w:val="00AF595A"/>
    <w:rsid w:val="00AF5A61"/>
    <w:rsid w:val="00AF5CDB"/>
    <w:rsid w:val="00AF603F"/>
    <w:rsid w:val="00AF61CE"/>
    <w:rsid w:val="00AF6870"/>
    <w:rsid w:val="00AF6B28"/>
    <w:rsid w:val="00AF7121"/>
    <w:rsid w:val="00B00442"/>
    <w:rsid w:val="00B00928"/>
    <w:rsid w:val="00B0099B"/>
    <w:rsid w:val="00B00BC1"/>
    <w:rsid w:val="00B00E52"/>
    <w:rsid w:val="00B01660"/>
    <w:rsid w:val="00B01896"/>
    <w:rsid w:val="00B02086"/>
    <w:rsid w:val="00B023C4"/>
    <w:rsid w:val="00B03AAF"/>
    <w:rsid w:val="00B03C11"/>
    <w:rsid w:val="00B03E4B"/>
    <w:rsid w:val="00B03F7F"/>
    <w:rsid w:val="00B0481D"/>
    <w:rsid w:val="00B048E0"/>
    <w:rsid w:val="00B04FEE"/>
    <w:rsid w:val="00B05120"/>
    <w:rsid w:val="00B051E1"/>
    <w:rsid w:val="00B05394"/>
    <w:rsid w:val="00B0577D"/>
    <w:rsid w:val="00B05806"/>
    <w:rsid w:val="00B059FA"/>
    <w:rsid w:val="00B05B83"/>
    <w:rsid w:val="00B05FD7"/>
    <w:rsid w:val="00B060BF"/>
    <w:rsid w:val="00B076C9"/>
    <w:rsid w:val="00B07772"/>
    <w:rsid w:val="00B078FC"/>
    <w:rsid w:val="00B07C6B"/>
    <w:rsid w:val="00B100DB"/>
    <w:rsid w:val="00B10299"/>
    <w:rsid w:val="00B10669"/>
    <w:rsid w:val="00B10992"/>
    <w:rsid w:val="00B115E5"/>
    <w:rsid w:val="00B11628"/>
    <w:rsid w:val="00B11965"/>
    <w:rsid w:val="00B12453"/>
    <w:rsid w:val="00B126C2"/>
    <w:rsid w:val="00B1332D"/>
    <w:rsid w:val="00B136E2"/>
    <w:rsid w:val="00B13803"/>
    <w:rsid w:val="00B13FC9"/>
    <w:rsid w:val="00B140CB"/>
    <w:rsid w:val="00B1444D"/>
    <w:rsid w:val="00B15064"/>
    <w:rsid w:val="00B152E2"/>
    <w:rsid w:val="00B154F1"/>
    <w:rsid w:val="00B15CC8"/>
    <w:rsid w:val="00B16635"/>
    <w:rsid w:val="00B1676D"/>
    <w:rsid w:val="00B17281"/>
    <w:rsid w:val="00B1729D"/>
    <w:rsid w:val="00B17997"/>
    <w:rsid w:val="00B205CF"/>
    <w:rsid w:val="00B212AE"/>
    <w:rsid w:val="00B21702"/>
    <w:rsid w:val="00B21894"/>
    <w:rsid w:val="00B221BE"/>
    <w:rsid w:val="00B22D23"/>
    <w:rsid w:val="00B23775"/>
    <w:rsid w:val="00B23828"/>
    <w:rsid w:val="00B239DB"/>
    <w:rsid w:val="00B23B9F"/>
    <w:rsid w:val="00B245D3"/>
    <w:rsid w:val="00B24D2F"/>
    <w:rsid w:val="00B2555D"/>
    <w:rsid w:val="00B25831"/>
    <w:rsid w:val="00B26243"/>
    <w:rsid w:val="00B26285"/>
    <w:rsid w:val="00B262FA"/>
    <w:rsid w:val="00B26549"/>
    <w:rsid w:val="00B26CAF"/>
    <w:rsid w:val="00B27E17"/>
    <w:rsid w:val="00B30672"/>
    <w:rsid w:val="00B31BE8"/>
    <w:rsid w:val="00B31C94"/>
    <w:rsid w:val="00B31E89"/>
    <w:rsid w:val="00B3435F"/>
    <w:rsid w:val="00B34C86"/>
    <w:rsid w:val="00B35CEB"/>
    <w:rsid w:val="00B36237"/>
    <w:rsid w:val="00B3644E"/>
    <w:rsid w:val="00B3693D"/>
    <w:rsid w:val="00B36E9F"/>
    <w:rsid w:val="00B37379"/>
    <w:rsid w:val="00B37787"/>
    <w:rsid w:val="00B405C6"/>
    <w:rsid w:val="00B40C1F"/>
    <w:rsid w:val="00B40D8B"/>
    <w:rsid w:val="00B4156A"/>
    <w:rsid w:val="00B416F6"/>
    <w:rsid w:val="00B41958"/>
    <w:rsid w:val="00B41F8E"/>
    <w:rsid w:val="00B424CD"/>
    <w:rsid w:val="00B430A7"/>
    <w:rsid w:val="00B440ED"/>
    <w:rsid w:val="00B440F1"/>
    <w:rsid w:val="00B448EC"/>
    <w:rsid w:val="00B44E5D"/>
    <w:rsid w:val="00B44FC1"/>
    <w:rsid w:val="00B45097"/>
    <w:rsid w:val="00B45D84"/>
    <w:rsid w:val="00B46800"/>
    <w:rsid w:val="00B46B68"/>
    <w:rsid w:val="00B46E32"/>
    <w:rsid w:val="00B50B86"/>
    <w:rsid w:val="00B51135"/>
    <w:rsid w:val="00B51569"/>
    <w:rsid w:val="00B52658"/>
    <w:rsid w:val="00B5285F"/>
    <w:rsid w:val="00B52C8F"/>
    <w:rsid w:val="00B52D62"/>
    <w:rsid w:val="00B53473"/>
    <w:rsid w:val="00B53881"/>
    <w:rsid w:val="00B54908"/>
    <w:rsid w:val="00B54C72"/>
    <w:rsid w:val="00B55442"/>
    <w:rsid w:val="00B55A58"/>
    <w:rsid w:val="00B55D87"/>
    <w:rsid w:val="00B57A5B"/>
    <w:rsid w:val="00B60E46"/>
    <w:rsid w:val="00B61839"/>
    <w:rsid w:val="00B61D6B"/>
    <w:rsid w:val="00B625F3"/>
    <w:rsid w:val="00B6285B"/>
    <w:rsid w:val="00B62BE6"/>
    <w:rsid w:val="00B63023"/>
    <w:rsid w:val="00B6352C"/>
    <w:rsid w:val="00B635F9"/>
    <w:rsid w:val="00B63A83"/>
    <w:rsid w:val="00B643D3"/>
    <w:rsid w:val="00B64416"/>
    <w:rsid w:val="00B66DE3"/>
    <w:rsid w:val="00B66E9F"/>
    <w:rsid w:val="00B67409"/>
    <w:rsid w:val="00B67934"/>
    <w:rsid w:val="00B67EAE"/>
    <w:rsid w:val="00B67EC1"/>
    <w:rsid w:val="00B7023C"/>
    <w:rsid w:val="00B70A19"/>
    <w:rsid w:val="00B70D83"/>
    <w:rsid w:val="00B710A5"/>
    <w:rsid w:val="00B71261"/>
    <w:rsid w:val="00B71B8C"/>
    <w:rsid w:val="00B7209B"/>
    <w:rsid w:val="00B72729"/>
    <w:rsid w:val="00B72950"/>
    <w:rsid w:val="00B730B9"/>
    <w:rsid w:val="00B7472A"/>
    <w:rsid w:val="00B74AE0"/>
    <w:rsid w:val="00B74B2D"/>
    <w:rsid w:val="00B74C2E"/>
    <w:rsid w:val="00B74DE4"/>
    <w:rsid w:val="00B75290"/>
    <w:rsid w:val="00B7605D"/>
    <w:rsid w:val="00B764B4"/>
    <w:rsid w:val="00B7660F"/>
    <w:rsid w:val="00B76777"/>
    <w:rsid w:val="00B774C4"/>
    <w:rsid w:val="00B77956"/>
    <w:rsid w:val="00B81F1C"/>
    <w:rsid w:val="00B82565"/>
    <w:rsid w:val="00B82AE8"/>
    <w:rsid w:val="00B83E22"/>
    <w:rsid w:val="00B843E5"/>
    <w:rsid w:val="00B847B9"/>
    <w:rsid w:val="00B85BE7"/>
    <w:rsid w:val="00B86BE7"/>
    <w:rsid w:val="00B86CDE"/>
    <w:rsid w:val="00B86DBD"/>
    <w:rsid w:val="00B87609"/>
    <w:rsid w:val="00B9036C"/>
    <w:rsid w:val="00B90DE3"/>
    <w:rsid w:val="00B91000"/>
    <w:rsid w:val="00B91FC1"/>
    <w:rsid w:val="00B91FC4"/>
    <w:rsid w:val="00B920F4"/>
    <w:rsid w:val="00B92543"/>
    <w:rsid w:val="00B9265D"/>
    <w:rsid w:val="00B92AB7"/>
    <w:rsid w:val="00B94B82"/>
    <w:rsid w:val="00B94C38"/>
    <w:rsid w:val="00B95DFD"/>
    <w:rsid w:val="00B9643C"/>
    <w:rsid w:val="00B96611"/>
    <w:rsid w:val="00B9674B"/>
    <w:rsid w:val="00B96807"/>
    <w:rsid w:val="00B968A7"/>
    <w:rsid w:val="00B97083"/>
    <w:rsid w:val="00B97547"/>
    <w:rsid w:val="00BA06E5"/>
    <w:rsid w:val="00BA0E6D"/>
    <w:rsid w:val="00BA1E7D"/>
    <w:rsid w:val="00BA267A"/>
    <w:rsid w:val="00BA33FA"/>
    <w:rsid w:val="00BA3BC1"/>
    <w:rsid w:val="00BA42AE"/>
    <w:rsid w:val="00BA4506"/>
    <w:rsid w:val="00BA4A25"/>
    <w:rsid w:val="00BA4B5E"/>
    <w:rsid w:val="00BA4E7C"/>
    <w:rsid w:val="00BA5088"/>
    <w:rsid w:val="00BA52B3"/>
    <w:rsid w:val="00BA5D9D"/>
    <w:rsid w:val="00BA63CC"/>
    <w:rsid w:val="00BA6659"/>
    <w:rsid w:val="00BA666F"/>
    <w:rsid w:val="00BA6C2B"/>
    <w:rsid w:val="00BA6F67"/>
    <w:rsid w:val="00BA728F"/>
    <w:rsid w:val="00BA79DD"/>
    <w:rsid w:val="00BB01C9"/>
    <w:rsid w:val="00BB027C"/>
    <w:rsid w:val="00BB0AF9"/>
    <w:rsid w:val="00BB1440"/>
    <w:rsid w:val="00BB15C0"/>
    <w:rsid w:val="00BB16F8"/>
    <w:rsid w:val="00BB1C7D"/>
    <w:rsid w:val="00BB2370"/>
    <w:rsid w:val="00BB2569"/>
    <w:rsid w:val="00BB2FD8"/>
    <w:rsid w:val="00BB31FA"/>
    <w:rsid w:val="00BB3D06"/>
    <w:rsid w:val="00BB3E95"/>
    <w:rsid w:val="00BB4E1C"/>
    <w:rsid w:val="00BB545F"/>
    <w:rsid w:val="00BB5B5A"/>
    <w:rsid w:val="00BB6AC1"/>
    <w:rsid w:val="00BB6C3F"/>
    <w:rsid w:val="00BB6E80"/>
    <w:rsid w:val="00BC0B10"/>
    <w:rsid w:val="00BC107A"/>
    <w:rsid w:val="00BC13AE"/>
    <w:rsid w:val="00BC2CED"/>
    <w:rsid w:val="00BC2D37"/>
    <w:rsid w:val="00BC2E8A"/>
    <w:rsid w:val="00BC2E9C"/>
    <w:rsid w:val="00BC33FD"/>
    <w:rsid w:val="00BC35FC"/>
    <w:rsid w:val="00BC3A47"/>
    <w:rsid w:val="00BC44FD"/>
    <w:rsid w:val="00BC4BA9"/>
    <w:rsid w:val="00BC53E6"/>
    <w:rsid w:val="00BC5D48"/>
    <w:rsid w:val="00BC60B4"/>
    <w:rsid w:val="00BC6171"/>
    <w:rsid w:val="00BC63E8"/>
    <w:rsid w:val="00BC643B"/>
    <w:rsid w:val="00BC6456"/>
    <w:rsid w:val="00BC6DED"/>
    <w:rsid w:val="00BC6DEE"/>
    <w:rsid w:val="00BC6F80"/>
    <w:rsid w:val="00BC78B1"/>
    <w:rsid w:val="00BC7C1C"/>
    <w:rsid w:val="00BC7C2E"/>
    <w:rsid w:val="00BD0051"/>
    <w:rsid w:val="00BD05CB"/>
    <w:rsid w:val="00BD0D68"/>
    <w:rsid w:val="00BD0F85"/>
    <w:rsid w:val="00BD1276"/>
    <w:rsid w:val="00BD14F3"/>
    <w:rsid w:val="00BD1943"/>
    <w:rsid w:val="00BD1AED"/>
    <w:rsid w:val="00BD1AEE"/>
    <w:rsid w:val="00BD1E5F"/>
    <w:rsid w:val="00BD2EC6"/>
    <w:rsid w:val="00BD3190"/>
    <w:rsid w:val="00BD3421"/>
    <w:rsid w:val="00BD383C"/>
    <w:rsid w:val="00BD393C"/>
    <w:rsid w:val="00BD3A97"/>
    <w:rsid w:val="00BD4083"/>
    <w:rsid w:val="00BD61A9"/>
    <w:rsid w:val="00BD65A0"/>
    <w:rsid w:val="00BD6B0C"/>
    <w:rsid w:val="00BD6BA6"/>
    <w:rsid w:val="00BD7BF7"/>
    <w:rsid w:val="00BE0094"/>
    <w:rsid w:val="00BE0965"/>
    <w:rsid w:val="00BE0AE2"/>
    <w:rsid w:val="00BE0BDE"/>
    <w:rsid w:val="00BE0CC7"/>
    <w:rsid w:val="00BE11AD"/>
    <w:rsid w:val="00BE160B"/>
    <w:rsid w:val="00BE1A48"/>
    <w:rsid w:val="00BE1FAA"/>
    <w:rsid w:val="00BE1FEB"/>
    <w:rsid w:val="00BE210D"/>
    <w:rsid w:val="00BE23C0"/>
    <w:rsid w:val="00BE2816"/>
    <w:rsid w:val="00BE36A1"/>
    <w:rsid w:val="00BE3DB0"/>
    <w:rsid w:val="00BE42CE"/>
    <w:rsid w:val="00BE4740"/>
    <w:rsid w:val="00BE51B5"/>
    <w:rsid w:val="00BE5981"/>
    <w:rsid w:val="00BE66F6"/>
    <w:rsid w:val="00BE798D"/>
    <w:rsid w:val="00BE79B4"/>
    <w:rsid w:val="00BE7FF1"/>
    <w:rsid w:val="00BF0383"/>
    <w:rsid w:val="00BF052B"/>
    <w:rsid w:val="00BF0C50"/>
    <w:rsid w:val="00BF0DE8"/>
    <w:rsid w:val="00BF0F6C"/>
    <w:rsid w:val="00BF1EA4"/>
    <w:rsid w:val="00BF29B1"/>
    <w:rsid w:val="00BF2BB9"/>
    <w:rsid w:val="00BF38E8"/>
    <w:rsid w:val="00BF3AA3"/>
    <w:rsid w:val="00BF447B"/>
    <w:rsid w:val="00BF45CC"/>
    <w:rsid w:val="00BF4C8C"/>
    <w:rsid w:val="00BF5031"/>
    <w:rsid w:val="00BF52CB"/>
    <w:rsid w:val="00BF559D"/>
    <w:rsid w:val="00BF5CA9"/>
    <w:rsid w:val="00BF5D04"/>
    <w:rsid w:val="00BF617C"/>
    <w:rsid w:val="00BF641B"/>
    <w:rsid w:val="00BF6821"/>
    <w:rsid w:val="00BF6DFF"/>
    <w:rsid w:val="00BF7753"/>
    <w:rsid w:val="00C015DF"/>
    <w:rsid w:val="00C01A62"/>
    <w:rsid w:val="00C01BD0"/>
    <w:rsid w:val="00C01D08"/>
    <w:rsid w:val="00C0221E"/>
    <w:rsid w:val="00C02E8B"/>
    <w:rsid w:val="00C02EE2"/>
    <w:rsid w:val="00C03066"/>
    <w:rsid w:val="00C03250"/>
    <w:rsid w:val="00C04701"/>
    <w:rsid w:val="00C04D31"/>
    <w:rsid w:val="00C04F07"/>
    <w:rsid w:val="00C05944"/>
    <w:rsid w:val="00C05BF6"/>
    <w:rsid w:val="00C0697F"/>
    <w:rsid w:val="00C06CB4"/>
    <w:rsid w:val="00C07C58"/>
    <w:rsid w:val="00C07CF3"/>
    <w:rsid w:val="00C105F9"/>
    <w:rsid w:val="00C10B2A"/>
    <w:rsid w:val="00C10D5B"/>
    <w:rsid w:val="00C11251"/>
    <w:rsid w:val="00C11AD5"/>
    <w:rsid w:val="00C11BD6"/>
    <w:rsid w:val="00C11C97"/>
    <w:rsid w:val="00C11D16"/>
    <w:rsid w:val="00C121C0"/>
    <w:rsid w:val="00C123B1"/>
    <w:rsid w:val="00C1279E"/>
    <w:rsid w:val="00C12FD8"/>
    <w:rsid w:val="00C14291"/>
    <w:rsid w:val="00C14312"/>
    <w:rsid w:val="00C143D4"/>
    <w:rsid w:val="00C14FBE"/>
    <w:rsid w:val="00C15067"/>
    <w:rsid w:val="00C151AB"/>
    <w:rsid w:val="00C154A8"/>
    <w:rsid w:val="00C15AC7"/>
    <w:rsid w:val="00C15B5E"/>
    <w:rsid w:val="00C1665A"/>
    <w:rsid w:val="00C1683C"/>
    <w:rsid w:val="00C16A14"/>
    <w:rsid w:val="00C16C3C"/>
    <w:rsid w:val="00C1746A"/>
    <w:rsid w:val="00C17DA5"/>
    <w:rsid w:val="00C202BE"/>
    <w:rsid w:val="00C209B7"/>
    <w:rsid w:val="00C20B7C"/>
    <w:rsid w:val="00C20BDB"/>
    <w:rsid w:val="00C20C6F"/>
    <w:rsid w:val="00C219D1"/>
    <w:rsid w:val="00C21C57"/>
    <w:rsid w:val="00C2287F"/>
    <w:rsid w:val="00C22A70"/>
    <w:rsid w:val="00C22E45"/>
    <w:rsid w:val="00C23503"/>
    <w:rsid w:val="00C23609"/>
    <w:rsid w:val="00C237A5"/>
    <w:rsid w:val="00C24AED"/>
    <w:rsid w:val="00C24C4A"/>
    <w:rsid w:val="00C24E01"/>
    <w:rsid w:val="00C24FA9"/>
    <w:rsid w:val="00C25B59"/>
    <w:rsid w:val="00C26075"/>
    <w:rsid w:val="00C262FC"/>
    <w:rsid w:val="00C26C3F"/>
    <w:rsid w:val="00C26D92"/>
    <w:rsid w:val="00C272BB"/>
    <w:rsid w:val="00C279DD"/>
    <w:rsid w:val="00C301CA"/>
    <w:rsid w:val="00C30F1D"/>
    <w:rsid w:val="00C31030"/>
    <w:rsid w:val="00C32570"/>
    <w:rsid w:val="00C32807"/>
    <w:rsid w:val="00C32A5E"/>
    <w:rsid w:val="00C32D0B"/>
    <w:rsid w:val="00C34C86"/>
    <w:rsid w:val="00C3517F"/>
    <w:rsid w:val="00C352F8"/>
    <w:rsid w:val="00C35D8F"/>
    <w:rsid w:val="00C35EC7"/>
    <w:rsid w:val="00C37488"/>
    <w:rsid w:val="00C3795F"/>
    <w:rsid w:val="00C40B11"/>
    <w:rsid w:val="00C40F32"/>
    <w:rsid w:val="00C4137A"/>
    <w:rsid w:val="00C41598"/>
    <w:rsid w:val="00C43292"/>
    <w:rsid w:val="00C44BE7"/>
    <w:rsid w:val="00C46635"/>
    <w:rsid w:val="00C46A16"/>
    <w:rsid w:val="00C47F8C"/>
    <w:rsid w:val="00C5005E"/>
    <w:rsid w:val="00C50B69"/>
    <w:rsid w:val="00C50E33"/>
    <w:rsid w:val="00C510CB"/>
    <w:rsid w:val="00C51159"/>
    <w:rsid w:val="00C511CD"/>
    <w:rsid w:val="00C520A8"/>
    <w:rsid w:val="00C5213B"/>
    <w:rsid w:val="00C5271D"/>
    <w:rsid w:val="00C52A5D"/>
    <w:rsid w:val="00C533B6"/>
    <w:rsid w:val="00C53875"/>
    <w:rsid w:val="00C541E6"/>
    <w:rsid w:val="00C54D0F"/>
    <w:rsid w:val="00C54EE0"/>
    <w:rsid w:val="00C5613D"/>
    <w:rsid w:val="00C56A08"/>
    <w:rsid w:val="00C57375"/>
    <w:rsid w:val="00C60015"/>
    <w:rsid w:val="00C601B4"/>
    <w:rsid w:val="00C603FA"/>
    <w:rsid w:val="00C60657"/>
    <w:rsid w:val="00C6065D"/>
    <w:rsid w:val="00C60C96"/>
    <w:rsid w:val="00C60EF7"/>
    <w:rsid w:val="00C611EF"/>
    <w:rsid w:val="00C61576"/>
    <w:rsid w:val="00C61A7B"/>
    <w:rsid w:val="00C61AD9"/>
    <w:rsid w:val="00C61B3E"/>
    <w:rsid w:val="00C61BE2"/>
    <w:rsid w:val="00C61F89"/>
    <w:rsid w:val="00C623BF"/>
    <w:rsid w:val="00C62E4D"/>
    <w:rsid w:val="00C62E9D"/>
    <w:rsid w:val="00C63E1C"/>
    <w:rsid w:val="00C64501"/>
    <w:rsid w:val="00C64659"/>
    <w:rsid w:val="00C649A6"/>
    <w:rsid w:val="00C64E8E"/>
    <w:rsid w:val="00C650D7"/>
    <w:rsid w:val="00C652B5"/>
    <w:rsid w:val="00C65438"/>
    <w:rsid w:val="00C6601C"/>
    <w:rsid w:val="00C66509"/>
    <w:rsid w:val="00C669DE"/>
    <w:rsid w:val="00C66F37"/>
    <w:rsid w:val="00C67339"/>
    <w:rsid w:val="00C67785"/>
    <w:rsid w:val="00C679A8"/>
    <w:rsid w:val="00C7064D"/>
    <w:rsid w:val="00C70650"/>
    <w:rsid w:val="00C707DB"/>
    <w:rsid w:val="00C7184E"/>
    <w:rsid w:val="00C719F5"/>
    <w:rsid w:val="00C7265F"/>
    <w:rsid w:val="00C72721"/>
    <w:rsid w:val="00C72725"/>
    <w:rsid w:val="00C72D6E"/>
    <w:rsid w:val="00C73679"/>
    <w:rsid w:val="00C7368A"/>
    <w:rsid w:val="00C73C56"/>
    <w:rsid w:val="00C7488E"/>
    <w:rsid w:val="00C74CE5"/>
    <w:rsid w:val="00C74E11"/>
    <w:rsid w:val="00C7527A"/>
    <w:rsid w:val="00C75934"/>
    <w:rsid w:val="00C75BC9"/>
    <w:rsid w:val="00C763CB"/>
    <w:rsid w:val="00C76512"/>
    <w:rsid w:val="00C7655F"/>
    <w:rsid w:val="00C766DD"/>
    <w:rsid w:val="00C76DCD"/>
    <w:rsid w:val="00C76DE3"/>
    <w:rsid w:val="00C76FF8"/>
    <w:rsid w:val="00C776EC"/>
    <w:rsid w:val="00C805FE"/>
    <w:rsid w:val="00C815FE"/>
    <w:rsid w:val="00C8185B"/>
    <w:rsid w:val="00C81CFC"/>
    <w:rsid w:val="00C822C9"/>
    <w:rsid w:val="00C8241F"/>
    <w:rsid w:val="00C827DD"/>
    <w:rsid w:val="00C82D48"/>
    <w:rsid w:val="00C8406B"/>
    <w:rsid w:val="00C84A6B"/>
    <w:rsid w:val="00C856E5"/>
    <w:rsid w:val="00C85979"/>
    <w:rsid w:val="00C85F42"/>
    <w:rsid w:val="00C86488"/>
    <w:rsid w:val="00C8693F"/>
    <w:rsid w:val="00C86D0C"/>
    <w:rsid w:val="00C86D1A"/>
    <w:rsid w:val="00C86DB3"/>
    <w:rsid w:val="00C87EB7"/>
    <w:rsid w:val="00C9006B"/>
    <w:rsid w:val="00C90854"/>
    <w:rsid w:val="00C91FDE"/>
    <w:rsid w:val="00C92056"/>
    <w:rsid w:val="00C93C72"/>
    <w:rsid w:val="00C944FF"/>
    <w:rsid w:val="00C95021"/>
    <w:rsid w:val="00C95825"/>
    <w:rsid w:val="00C95B44"/>
    <w:rsid w:val="00C96125"/>
    <w:rsid w:val="00C9612A"/>
    <w:rsid w:val="00C96921"/>
    <w:rsid w:val="00C97710"/>
    <w:rsid w:val="00C97C83"/>
    <w:rsid w:val="00C97EF2"/>
    <w:rsid w:val="00CA1759"/>
    <w:rsid w:val="00CA18AC"/>
    <w:rsid w:val="00CA1F1D"/>
    <w:rsid w:val="00CA1FE3"/>
    <w:rsid w:val="00CA21A6"/>
    <w:rsid w:val="00CA2537"/>
    <w:rsid w:val="00CA2719"/>
    <w:rsid w:val="00CA3AB9"/>
    <w:rsid w:val="00CA3B40"/>
    <w:rsid w:val="00CA3FFA"/>
    <w:rsid w:val="00CA4091"/>
    <w:rsid w:val="00CA4DF1"/>
    <w:rsid w:val="00CA5D50"/>
    <w:rsid w:val="00CA66BF"/>
    <w:rsid w:val="00CA6772"/>
    <w:rsid w:val="00CA6CD3"/>
    <w:rsid w:val="00CA6F7D"/>
    <w:rsid w:val="00CA76C7"/>
    <w:rsid w:val="00CA7FCA"/>
    <w:rsid w:val="00CACC6A"/>
    <w:rsid w:val="00CB03C9"/>
    <w:rsid w:val="00CB056C"/>
    <w:rsid w:val="00CB1301"/>
    <w:rsid w:val="00CB148D"/>
    <w:rsid w:val="00CB34DD"/>
    <w:rsid w:val="00CB36E0"/>
    <w:rsid w:val="00CB3974"/>
    <w:rsid w:val="00CB41A7"/>
    <w:rsid w:val="00CB52F8"/>
    <w:rsid w:val="00CB5B95"/>
    <w:rsid w:val="00CB601A"/>
    <w:rsid w:val="00CB6050"/>
    <w:rsid w:val="00CB607D"/>
    <w:rsid w:val="00CB646E"/>
    <w:rsid w:val="00CB74C7"/>
    <w:rsid w:val="00CB7A50"/>
    <w:rsid w:val="00CB7C1F"/>
    <w:rsid w:val="00CB7E7E"/>
    <w:rsid w:val="00CC026E"/>
    <w:rsid w:val="00CC0AB6"/>
    <w:rsid w:val="00CC0EB4"/>
    <w:rsid w:val="00CC0F43"/>
    <w:rsid w:val="00CC1121"/>
    <w:rsid w:val="00CC16C5"/>
    <w:rsid w:val="00CC28DE"/>
    <w:rsid w:val="00CC2A0C"/>
    <w:rsid w:val="00CC4128"/>
    <w:rsid w:val="00CC42EE"/>
    <w:rsid w:val="00CC464D"/>
    <w:rsid w:val="00CC49F6"/>
    <w:rsid w:val="00CC546A"/>
    <w:rsid w:val="00CC548B"/>
    <w:rsid w:val="00CC58B4"/>
    <w:rsid w:val="00CC5E7D"/>
    <w:rsid w:val="00CC60C1"/>
    <w:rsid w:val="00CD00B7"/>
    <w:rsid w:val="00CD141F"/>
    <w:rsid w:val="00CD1E2C"/>
    <w:rsid w:val="00CD2130"/>
    <w:rsid w:val="00CD2FAC"/>
    <w:rsid w:val="00CD31EE"/>
    <w:rsid w:val="00CD3458"/>
    <w:rsid w:val="00CD390E"/>
    <w:rsid w:val="00CD3B93"/>
    <w:rsid w:val="00CD4ADA"/>
    <w:rsid w:val="00CD4F85"/>
    <w:rsid w:val="00CD5413"/>
    <w:rsid w:val="00CD59FB"/>
    <w:rsid w:val="00CD5A4B"/>
    <w:rsid w:val="00CD5C3C"/>
    <w:rsid w:val="00CD5E40"/>
    <w:rsid w:val="00CD5F0A"/>
    <w:rsid w:val="00CD6138"/>
    <w:rsid w:val="00CD7ADF"/>
    <w:rsid w:val="00CD7B34"/>
    <w:rsid w:val="00CD7BD0"/>
    <w:rsid w:val="00CD7C67"/>
    <w:rsid w:val="00CD7E48"/>
    <w:rsid w:val="00CE04AE"/>
    <w:rsid w:val="00CE1400"/>
    <w:rsid w:val="00CE1677"/>
    <w:rsid w:val="00CE16B0"/>
    <w:rsid w:val="00CE1AC0"/>
    <w:rsid w:val="00CE1C58"/>
    <w:rsid w:val="00CE2000"/>
    <w:rsid w:val="00CE20F1"/>
    <w:rsid w:val="00CE2343"/>
    <w:rsid w:val="00CE2578"/>
    <w:rsid w:val="00CE29B8"/>
    <w:rsid w:val="00CE2B0F"/>
    <w:rsid w:val="00CE2D6D"/>
    <w:rsid w:val="00CE2D83"/>
    <w:rsid w:val="00CE2F31"/>
    <w:rsid w:val="00CE3A33"/>
    <w:rsid w:val="00CE3C5D"/>
    <w:rsid w:val="00CE4201"/>
    <w:rsid w:val="00CE4509"/>
    <w:rsid w:val="00CE4EF1"/>
    <w:rsid w:val="00CE50A4"/>
    <w:rsid w:val="00CE535B"/>
    <w:rsid w:val="00CE5A8F"/>
    <w:rsid w:val="00CE6386"/>
    <w:rsid w:val="00CE6905"/>
    <w:rsid w:val="00CE6C66"/>
    <w:rsid w:val="00CE79BD"/>
    <w:rsid w:val="00CE7ABB"/>
    <w:rsid w:val="00CE7BB8"/>
    <w:rsid w:val="00CF07C2"/>
    <w:rsid w:val="00CF0BE9"/>
    <w:rsid w:val="00CF1450"/>
    <w:rsid w:val="00CF1EA6"/>
    <w:rsid w:val="00CF3051"/>
    <w:rsid w:val="00CF35CA"/>
    <w:rsid w:val="00CF4CC2"/>
    <w:rsid w:val="00CF4F6C"/>
    <w:rsid w:val="00CF5EF8"/>
    <w:rsid w:val="00CF6133"/>
    <w:rsid w:val="00CF6A20"/>
    <w:rsid w:val="00CF6E8C"/>
    <w:rsid w:val="00D00311"/>
    <w:rsid w:val="00D0079B"/>
    <w:rsid w:val="00D0097F"/>
    <w:rsid w:val="00D00BB5"/>
    <w:rsid w:val="00D015DF"/>
    <w:rsid w:val="00D01B84"/>
    <w:rsid w:val="00D02592"/>
    <w:rsid w:val="00D0308F"/>
    <w:rsid w:val="00D03A7C"/>
    <w:rsid w:val="00D04F34"/>
    <w:rsid w:val="00D06A1E"/>
    <w:rsid w:val="00D06B9B"/>
    <w:rsid w:val="00D07863"/>
    <w:rsid w:val="00D07A63"/>
    <w:rsid w:val="00D07A6F"/>
    <w:rsid w:val="00D07AEB"/>
    <w:rsid w:val="00D07AF9"/>
    <w:rsid w:val="00D115F7"/>
    <w:rsid w:val="00D1220E"/>
    <w:rsid w:val="00D122FD"/>
    <w:rsid w:val="00D12433"/>
    <w:rsid w:val="00D13314"/>
    <w:rsid w:val="00D14201"/>
    <w:rsid w:val="00D1424C"/>
    <w:rsid w:val="00D147C1"/>
    <w:rsid w:val="00D14EC2"/>
    <w:rsid w:val="00D151E3"/>
    <w:rsid w:val="00D152E7"/>
    <w:rsid w:val="00D15744"/>
    <w:rsid w:val="00D158A3"/>
    <w:rsid w:val="00D158B8"/>
    <w:rsid w:val="00D16A26"/>
    <w:rsid w:val="00D16B55"/>
    <w:rsid w:val="00D2075C"/>
    <w:rsid w:val="00D21122"/>
    <w:rsid w:val="00D21468"/>
    <w:rsid w:val="00D2158C"/>
    <w:rsid w:val="00D22955"/>
    <w:rsid w:val="00D2295C"/>
    <w:rsid w:val="00D232FD"/>
    <w:rsid w:val="00D23920"/>
    <w:rsid w:val="00D23B9B"/>
    <w:rsid w:val="00D23F7B"/>
    <w:rsid w:val="00D23FD2"/>
    <w:rsid w:val="00D24C33"/>
    <w:rsid w:val="00D24CA4"/>
    <w:rsid w:val="00D24D99"/>
    <w:rsid w:val="00D2510D"/>
    <w:rsid w:val="00D25751"/>
    <w:rsid w:val="00D25B06"/>
    <w:rsid w:val="00D26144"/>
    <w:rsid w:val="00D262E0"/>
    <w:rsid w:val="00D263BF"/>
    <w:rsid w:val="00D2655C"/>
    <w:rsid w:val="00D27319"/>
    <w:rsid w:val="00D27FAD"/>
    <w:rsid w:val="00D302FE"/>
    <w:rsid w:val="00D3099C"/>
    <w:rsid w:val="00D30B1C"/>
    <w:rsid w:val="00D31A0B"/>
    <w:rsid w:val="00D31F7A"/>
    <w:rsid w:val="00D32083"/>
    <w:rsid w:val="00D3265D"/>
    <w:rsid w:val="00D326B1"/>
    <w:rsid w:val="00D32C72"/>
    <w:rsid w:val="00D32D92"/>
    <w:rsid w:val="00D32F1B"/>
    <w:rsid w:val="00D3372A"/>
    <w:rsid w:val="00D340AD"/>
    <w:rsid w:val="00D3430A"/>
    <w:rsid w:val="00D35281"/>
    <w:rsid w:val="00D352CC"/>
    <w:rsid w:val="00D35D1C"/>
    <w:rsid w:val="00D36058"/>
    <w:rsid w:val="00D37050"/>
    <w:rsid w:val="00D40008"/>
    <w:rsid w:val="00D40512"/>
    <w:rsid w:val="00D40B7E"/>
    <w:rsid w:val="00D40C5F"/>
    <w:rsid w:val="00D41C8D"/>
    <w:rsid w:val="00D4216A"/>
    <w:rsid w:val="00D42744"/>
    <w:rsid w:val="00D42B2D"/>
    <w:rsid w:val="00D439AB"/>
    <w:rsid w:val="00D43F30"/>
    <w:rsid w:val="00D4427C"/>
    <w:rsid w:val="00D443DC"/>
    <w:rsid w:val="00D444C4"/>
    <w:rsid w:val="00D444EE"/>
    <w:rsid w:val="00D44608"/>
    <w:rsid w:val="00D44C32"/>
    <w:rsid w:val="00D457EA"/>
    <w:rsid w:val="00D458B4"/>
    <w:rsid w:val="00D45D69"/>
    <w:rsid w:val="00D47363"/>
    <w:rsid w:val="00D476D0"/>
    <w:rsid w:val="00D4785F"/>
    <w:rsid w:val="00D47948"/>
    <w:rsid w:val="00D509A2"/>
    <w:rsid w:val="00D511AC"/>
    <w:rsid w:val="00D51269"/>
    <w:rsid w:val="00D514DE"/>
    <w:rsid w:val="00D51690"/>
    <w:rsid w:val="00D51709"/>
    <w:rsid w:val="00D51C02"/>
    <w:rsid w:val="00D51DCC"/>
    <w:rsid w:val="00D51E9C"/>
    <w:rsid w:val="00D51EFC"/>
    <w:rsid w:val="00D52080"/>
    <w:rsid w:val="00D52A7B"/>
    <w:rsid w:val="00D53184"/>
    <w:rsid w:val="00D533BE"/>
    <w:rsid w:val="00D53435"/>
    <w:rsid w:val="00D534E9"/>
    <w:rsid w:val="00D53560"/>
    <w:rsid w:val="00D5403C"/>
    <w:rsid w:val="00D54655"/>
    <w:rsid w:val="00D5469A"/>
    <w:rsid w:val="00D54FCA"/>
    <w:rsid w:val="00D5500A"/>
    <w:rsid w:val="00D55A20"/>
    <w:rsid w:val="00D55AFA"/>
    <w:rsid w:val="00D55B66"/>
    <w:rsid w:val="00D55BC5"/>
    <w:rsid w:val="00D55C8B"/>
    <w:rsid w:val="00D55FE2"/>
    <w:rsid w:val="00D5755B"/>
    <w:rsid w:val="00D57BC0"/>
    <w:rsid w:val="00D57E49"/>
    <w:rsid w:val="00D60A75"/>
    <w:rsid w:val="00D611D2"/>
    <w:rsid w:val="00D61590"/>
    <w:rsid w:val="00D61C4E"/>
    <w:rsid w:val="00D61EFB"/>
    <w:rsid w:val="00D6238E"/>
    <w:rsid w:val="00D625D0"/>
    <w:rsid w:val="00D62E8F"/>
    <w:rsid w:val="00D62FC1"/>
    <w:rsid w:val="00D63531"/>
    <w:rsid w:val="00D64084"/>
    <w:rsid w:val="00D64519"/>
    <w:rsid w:val="00D64672"/>
    <w:rsid w:val="00D64F47"/>
    <w:rsid w:val="00D66002"/>
    <w:rsid w:val="00D66266"/>
    <w:rsid w:val="00D66AF8"/>
    <w:rsid w:val="00D66E74"/>
    <w:rsid w:val="00D67A36"/>
    <w:rsid w:val="00D67AAA"/>
    <w:rsid w:val="00D67EB7"/>
    <w:rsid w:val="00D702A9"/>
    <w:rsid w:val="00D702B3"/>
    <w:rsid w:val="00D70E98"/>
    <w:rsid w:val="00D71A7B"/>
    <w:rsid w:val="00D729B5"/>
    <w:rsid w:val="00D73435"/>
    <w:rsid w:val="00D73CAD"/>
    <w:rsid w:val="00D73FA2"/>
    <w:rsid w:val="00D74023"/>
    <w:rsid w:val="00D74036"/>
    <w:rsid w:val="00D74788"/>
    <w:rsid w:val="00D74917"/>
    <w:rsid w:val="00D74CFC"/>
    <w:rsid w:val="00D75947"/>
    <w:rsid w:val="00D75C8C"/>
    <w:rsid w:val="00D764AE"/>
    <w:rsid w:val="00D767EB"/>
    <w:rsid w:val="00D77A54"/>
    <w:rsid w:val="00D77AF9"/>
    <w:rsid w:val="00D77B18"/>
    <w:rsid w:val="00D812E1"/>
    <w:rsid w:val="00D817B1"/>
    <w:rsid w:val="00D82046"/>
    <w:rsid w:val="00D8237B"/>
    <w:rsid w:val="00D823A6"/>
    <w:rsid w:val="00D8262D"/>
    <w:rsid w:val="00D828B0"/>
    <w:rsid w:val="00D83847"/>
    <w:rsid w:val="00D8487A"/>
    <w:rsid w:val="00D8495D"/>
    <w:rsid w:val="00D84F0D"/>
    <w:rsid w:val="00D85A57"/>
    <w:rsid w:val="00D86161"/>
    <w:rsid w:val="00D8635B"/>
    <w:rsid w:val="00D86A55"/>
    <w:rsid w:val="00D878C8"/>
    <w:rsid w:val="00D87B65"/>
    <w:rsid w:val="00D87BE9"/>
    <w:rsid w:val="00D87E8F"/>
    <w:rsid w:val="00D9034D"/>
    <w:rsid w:val="00D90F53"/>
    <w:rsid w:val="00D916E3"/>
    <w:rsid w:val="00D91BA9"/>
    <w:rsid w:val="00D9266A"/>
    <w:rsid w:val="00D92910"/>
    <w:rsid w:val="00D92BE1"/>
    <w:rsid w:val="00D92DC5"/>
    <w:rsid w:val="00D939B6"/>
    <w:rsid w:val="00D93E13"/>
    <w:rsid w:val="00D94308"/>
    <w:rsid w:val="00D94A12"/>
    <w:rsid w:val="00D94EC0"/>
    <w:rsid w:val="00D96A89"/>
    <w:rsid w:val="00D96FB9"/>
    <w:rsid w:val="00D97001"/>
    <w:rsid w:val="00D973DB"/>
    <w:rsid w:val="00D9794A"/>
    <w:rsid w:val="00DA000A"/>
    <w:rsid w:val="00DA051C"/>
    <w:rsid w:val="00DA0866"/>
    <w:rsid w:val="00DA0911"/>
    <w:rsid w:val="00DA0C89"/>
    <w:rsid w:val="00DA1072"/>
    <w:rsid w:val="00DA1300"/>
    <w:rsid w:val="00DA1A1B"/>
    <w:rsid w:val="00DA1B01"/>
    <w:rsid w:val="00DA24A2"/>
    <w:rsid w:val="00DA27CA"/>
    <w:rsid w:val="00DA31EF"/>
    <w:rsid w:val="00DA36F4"/>
    <w:rsid w:val="00DA4A4B"/>
    <w:rsid w:val="00DA4E66"/>
    <w:rsid w:val="00DA4FCC"/>
    <w:rsid w:val="00DA50EA"/>
    <w:rsid w:val="00DA532A"/>
    <w:rsid w:val="00DA5A5D"/>
    <w:rsid w:val="00DA5D79"/>
    <w:rsid w:val="00DA6427"/>
    <w:rsid w:val="00DA6884"/>
    <w:rsid w:val="00DA6A44"/>
    <w:rsid w:val="00DA6EF4"/>
    <w:rsid w:val="00DA75DB"/>
    <w:rsid w:val="00DA7A31"/>
    <w:rsid w:val="00DA7C17"/>
    <w:rsid w:val="00DB04D5"/>
    <w:rsid w:val="00DB0500"/>
    <w:rsid w:val="00DB054A"/>
    <w:rsid w:val="00DB0C89"/>
    <w:rsid w:val="00DB0CEE"/>
    <w:rsid w:val="00DB154F"/>
    <w:rsid w:val="00DB2423"/>
    <w:rsid w:val="00DB275B"/>
    <w:rsid w:val="00DB2A0F"/>
    <w:rsid w:val="00DB3341"/>
    <w:rsid w:val="00DB3B97"/>
    <w:rsid w:val="00DB3F06"/>
    <w:rsid w:val="00DB3FF5"/>
    <w:rsid w:val="00DB477C"/>
    <w:rsid w:val="00DB4BAC"/>
    <w:rsid w:val="00DB5A8D"/>
    <w:rsid w:val="00DB5A93"/>
    <w:rsid w:val="00DB5E05"/>
    <w:rsid w:val="00DB5EDC"/>
    <w:rsid w:val="00DB6BD3"/>
    <w:rsid w:val="00DB763E"/>
    <w:rsid w:val="00DB7BFA"/>
    <w:rsid w:val="00DC02CA"/>
    <w:rsid w:val="00DC112A"/>
    <w:rsid w:val="00DC16C0"/>
    <w:rsid w:val="00DC2749"/>
    <w:rsid w:val="00DC2C9F"/>
    <w:rsid w:val="00DC38C5"/>
    <w:rsid w:val="00DC39E3"/>
    <w:rsid w:val="00DC4760"/>
    <w:rsid w:val="00DC47FD"/>
    <w:rsid w:val="00DC4C49"/>
    <w:rsid w:val="00DC5020"/>
    <w:rsid w:val="00DC6464"/>
    <w:rsid w:val="00DC66CB"/>
    <w:rsid w:val="00DC6926"/>
    <w:rsid w:val="00DC6A46"/>
    <w:rsid w:val="00DC6B20"/>
    <w:rsid w:val="00DC726C"/>
    <w:rsid w:val="00DD0426"/>
    <w:rsid w:val="00DD04D4"/>
    <w:rsid w:val="00DD0FE3"/>
    <w:rsid w:val="00DD1249"/>
    <w:rsid w:val="00DD17F8"/>
    <w:rsid w:val="00DD2455"/>
    <w:rsid w:val="00DD2597"/>
    <w:rsid w:val="00DD274B"/>
    <w:rsid w:val="00DD2F41"/>
    <w:rsid w:val="00DD3218"/>
    <w:rsid w:val="00DD3A81"/>
    <w:rsid w:val="00DD3ABA"/>
    <w:rsid w:val="00DD4D54"/>
    <w:rsid w:val="00DD4F42"/>
    <w:rsid w:val="00DD52CB"/>
    <w:rsid w:val="00DD706D"/>
    <w:rsid w:val="00DD7259"/>
    <w:rsid w:val="00DD7516"/>
    <w:rsid w:val="00DE0E95"/>
    <w:rsid w:val="00DE0F9B"/>
    <w:rsid w:val="00DE12A1"/>
    <w:rsid w:val="00DE14E3"/>
    <w:rsid w:val="00DE1ECB"/>
    <w:rsid w:val="00DE203B"/>
    <w:rsid w:val="00DE2702"/>
    <w:rsid w:val="00DE2AF5"/>
    <w:rsid w:val="00DE2F9E"/>
    <w:rsid w:val="00DE360E"/>
    <w:rsid w:val="00DE3EF7"/>
    <w:rsid w:val="00DE41C6"/>
    <w:rsid w:val="00DE45E0"/>
    <w:rsid w:val="00DE4891"/>
    <w:rsid w:val="00DE4D5A"/>
    <w:rsid w:val="00DE5892"/>
    <w:rsid w:val="00DE59A0"/>
    <w:rsid w:val="00DE59A1"/>
    <w:rsid w:val="00DE5BFD"/>
    <w:rsid w:val="00DE63FD"/>
    <w:rsid w:val="00DE6582"/>
    <w:rsid w:val="00DE68BB"/>
    <w:rsid w:val="00DE6903"/>
    <w:rsid w:val="00DE6B83"/>
    <w:rsid w:val="00DE7635"/>
    <w:rsid w:val="00DE7692"/>
    <w:rsid w:val="00DE7711"/>
    <w:rsid w:val="00DE7B0B"/>
    <w:rsid w:val="00DE7E5D"/>
    <w:rsid w:val="00DE7F0B"/>
    <w:rsid w:val="00DF0212"/>
    <w:rsid w:val="00DF055C"/>
    <w:rsid w:val="00DF1443"/>
    <w:rsid w:val="00DF2413"/>
    <w:rsid w:val="00DF2DDA"/>
    <w:rsid w:val="00DF34A1"/>
    <w:rsid w:val="00DF3CC1"/>
    <w:rsid w:val="00DF3D8B"/>
    <w:rsid w:val="00DF43A5"/>
    <w:rsid w:val="00DF43AD"/>
    <w:rsid w:val="00DF447A"/>
    <w:rsid w:val="00DF4B82"/>
    <w:rsid w:val="00DF5135"/>
    <w:rsid w:val="00DF52E4"/>
    <w:rsid w:val="00DF5728"/>
    <w:rsid w:val="00DF6277"/>
    <w:rsid w:val="00DF6692"/>
    <w:rsid w:val="00DF6744"/>
    <w:rsid w:val="00DF6FFA"/>
    <w:rsid w:val="00DF734F"/>
    <w:rsid w:val="00DF7DAB"/>
    <w:rsid w:val="00DF7F27"/>
    <w:rsid w:val="00DF7F4D"/>
    <w:rsid w:val="00E0020B"/>
    <w:rsid w:val="00E003CF"/>
    <w:rsid w:val="00E003EB"/>
    <w:rsid w:val="00E006B1"/>
    <w:rsid w:val="00E00CFD"/>
    <w:rsid w:val="00E01428"/>
    <w:rsid w:val="00E01DEC"/>
    <w:rsid w:val="00E023CD"/>
    <w:rsid w:val="00E02AE2"/>
    <w:rsid w:val="00E02C37"/>
    <w:rsid w:val="00E0524A"/>
    <w:rsid w:val="00E0544E"/>
    <w:rsid w:val="00E0558B"/>
    <w:rsid w:val="00E0574F"/>
    <w:rsid w:val="00E06152"/>
    <w:rsid w:val="00E06861"/>
    <w:rsid w:val="00E06C16"/>
    <w:rsid w:val="00E07423"/>
    <w:rsid w:val="00E07514"/>
    <w:rsid w:val="00E07C01"/>
    <w:rsid w:val="00E07D30"/>
    <w:rsid w:val="00E1024B"/>
    <w:rsid w:val="00E10DDB"/>
    <w:rsid w:val="00E11103"/>
    <w:rsid w:val="00E113E4"/>
    <w:rsid w:val="00E113FB"/>
    <w:rsid w:val="00E1170D"/>
    <w:rsid w:val="00E11FB6"/>
    <w:rsid w:val="00E12600"/>
    <w:rsid w:val="00E127C5"/>
    <w:rsid w:val="00E12F2A"/>
    <w:rsid w:val="00E13A1D"/>
    <w:rsid w:val="00E13D6B"/>
    <w:rsid w:val="00E14903"/>
    <w:rsid w:val="00E154D1"/>
    <w:rsid w:val="00E15A7E"/>
    <w:rsid w:val="00E15FA1"/>
    <w:rsid w:val="00E1667D"/>
    <w:rsid w:val="00E16A29"/>
    <w:rsid w:val="00E1720A"/>
    <w:rsid w:val="00E1721C"/>
    <w:rsid w:val="00E176CB"/>
    <w:rsid w:val="00E17763"/>
    <w:rsid w:val="00E17BCD"/>
    <w:rsid w:val="00E206AE"/>
    <w:rsid w:val="00E20D33"/>
    <w:rsid w:val="00E212D1"/>
    <w:rsid w:val="00E217D5"/>
    <w:rsid w:val="00E22FBA"/>
    <w:rsid w:val="00E23288"/>
    <w:rsid w:val="00E23860"/>
    <w:rsid w:val="00E23C3C"/>
    <w:rsid w:val="00E240A1"/>
    <w:rsid w:val="00E2414D"/>
    <w:rsid w:val="00E241A1"/>
    <w:rsid w:val="00E245BC"/>
    <w:rsid w:val="00E247E0"/>
    <w:rsid w:val="00E25453"/>
    <w:rsid w:val="00E2548A"/>
    <w:rsid w:val="00E25B6E"/>
    <w:rsid w:val="00E25FB7"/>
    <w:rsid w:val="00E264F7"/>
    <w:rsid w:val="00E26642"/>
    <w:rsid w:val="00E30767"/>
    <w:rsid w:val="00E3076E"/>
    <w:rsid w:val="00E31B0A"/>
    <w:rsid w:val="00E31F5E"/>
    <w:rsid w:val="00E32660"/>
    <w:rsid w:val="00E32ABC"/>
    <w:rsid w:val="00E32F53"/>
    <w:rsid w:val="00E32FDC"/>
    <w:rsid w:val="00E33206"/>
    <w:rsid w:val="00E3334C"/>
    <w:rsid w:val="00E33568"/>
    <w:rsid w:val="00E338A7"/>
    <w:rsid w:val="00E33F88"/>
    <w:rsid w:val="00E33FBE"/>
    <w:rsid w:val="00E3425F"/>
    <w:rsid w:val="00E349DE"/>
    <w:rsid w:val="00E3536C"/>
    <w:rsid w:val="00E359DA"/>
    <w:rsid w:val="00E37518"/>
    <w:rsid w:val="00E37CA2"/>
    <w:rsid w:val="00E37DB5"/>
    <w:rsid w:val="00E4025F"/>
    <w:rsid w:val="00E405C9"/>
    <w:rsid w:val="00E41238"/>
    <w:rsid w:val="00E417F2"/>
    <w:rsid w:val="00E421A9"/>
    <w:rsid w:val="00E424F7"/>
    <w:rsid w:val="00E42AE6"/>
    <w:rsid w:val="00E4304E"/>
    <w:rsid w:val="00E4364E"/>
    <w:rsid w:val="00E4411F"/>
    <w:rsid w:val="00E4499D"/>
    <w:rsid w:val="00E4622C"/>
    <w:rsid w:val="00E46EC2"/>
    <w:rsid w:val="00E47049"/>
    <w:rsid w:val="00E47704"/>
    <w:rsid w:val="00E47BA1"/>
    <w:rsid w:val="00E50FDD"/>
    <w:rsid w:val="00E51746"/>
    <w:rsid w:val="00E5196D"/>
    <w:rsid w:val="00E52631"/>
    <w:rsid w:val="00E52778"/>
    <w:rsid w:val="00E52DF1"/>
    <w:rsid w:val="00E53C4F"/>
    <w:rsid w:val="00E543C2"/>
    <w:rsid w:val="00E544E3"/>
    <w:rsid w:val="00E554EC"/>
    <w:rsid w:val="00E5609B"/>
    <w:rsid w:val="00E564AA"/>
    <w:rsid w:val="00E57922"/>
    <w:rsid w:val="00E60043"/>
    <w:rsid w:val="00E60129"/>
    <w:rsid w:val="00E601A2"/>
    <w:rsid w:val="00E60F81"/>
    <w:rsid w:val="00E61BC1"/>
    <w:rsid w:val="00E61C75"/>
    <w:rsid w:val="00E6269F"/>
    <w:rsid w:val="00E62E76"/>
    <w:rsid w:val="00E632D7"/>
    <w:rsid w:val="00E63349"/>
    <w:rsid w:val="00E63613"/>
    <w:rsid w:val="00E63637"/>
    <w:rsid w:val="00E63B40"/>
    <w:rsid w:val="00E63F38"/>
    <w:rsid w:val="00E65014"/>
    <w:rsid w:val="00E6551E"/>
    <w:rsid w:val="00E6620C"/>
    <w:rsid w:val="00E6638F"/>
    <w:rsid w:val="00E66437"/>
    <w:rsid w:val="00E67268"/>
    <w:rsid w:val="00E675F8"/>
    <w:rsid w:val="00E67625"/>
    <w:rsid w:val="00E67B4E"/>
    <w:rsid w:val="00E67E61"/>
    <w:rsid w:val="00E7014B"/>
    <w:rsid w:val="00E7019E"/>
    <w:rsid w:val="00E70DD6"/>
    <w:rsid w:val="00E70E2F"/>
    <w:rsid w:val="00E7174C"/>
    <w:rsid w:val="00E71CE3"/>
    <w:rsid w:val="00E727A6"/>
    <w:rsid w:val="00E72836"/>
    <w:rsid w:val="00E72DAA"/>
    <w:rsid w:val="00E7312A"/>
    <w:rsid w:val="00E73422"/>
    <w:rsid w:val="00E7342F"/>
    <w:rsid w:val="00E734BC"/>
    <w:rsid w:val="00E73560"/>
    <w:rsid w:val="00E736EC"/>
    <w:rsid w:val="00E736ED"/>
    <w:rsid w:val="00E737F9"/>
    <w:rsid w:val="00E7396B"/>
    <w:rsid w:val="00E74209"/>
    <w:rsid w:val="00E7441D"/>
    <w:rsid w:val="00E748C9"/>
    <w:rsid w:val="00E74DF5"/>
    <w:rsid w:val="00E75051"/>
    <w:rsid w:val="00E750C9"/>
    <w:rsid w:val="00E7566D"/>
    <w:rsid w:val="00E75D52"/>
    <w:rsid w:val="00E75E1C"/>
    <w:rsid w:val="00E75FB7"/>
    <w:rsid w:val="00E760F1"/>
    <w:rsid w:val="00E76F3A"/>
    <w:rsid w:val="00E76FC1"/>
    <w:rsid w:val="00E7764C"/>
    <w:rsid w:val="00E800BA"/>
    <w:rsid w:val="00E80EFC"/>
    <w:rsid w:val="00E81016"/>
    <w:rsid w:val="00E8147E"/>
    <w:rsid w:val="00E818AA"/>
    <w:rsid w:val="00E81D8A"/>
    <w:rsid w:val="00E82440"/>
    <w:rsid w:val="00E825B6"/>
    <w:rsid w:val="00E82D36"/>
    <w:rsid w:val="00E82F8F"/>
    <w:rsid w:val="00E83E1E"/>
    <w:rsid w:val="00E84378"/>
    <w:rsid w:val="00E84548"/>
    <w:rsid w:val="00E8456E"/>
    <w:rsid w:val="00E845AA"/>
    <w:rsid w:val="00E84DEA"/>
    <w:rsid w:val="00E853D9"/>
    <w:rsid w:val="00E85BCD"/>
    <w:rsid w:val="00E86633"/>
    <w:rsid w:val="00E86D66"/>
    <w:rsid w:val="00E86EE7"/>
    <w:rsid w:val="00E871F2"/>
    <w:rsid w:val="00E87751"/>
    <w:rsid w:val="00E87C40"/>
    <w:rsid w:val="00E87D1B"/>
    <w:rsid w:val="00E87E30"/>
    <w:rsid w:val="00E91264"/>
    <w:rsid w:val="00E91C19"/>
    <w:rsid w:val="00E92834"/>
    <w:rsid w:val="00E92B91"/>
    <w:rsid w:val="00E92FB5"/>
    <w:rsid w:val="00E93E56"/>
    <w:rsid w:val="00E945C1"/>
    <w:rsid w:val="00E9486E"/>
    <w:rsid w:val="00E94944"/>
    <w:rsid w:val="00E94CF9"/>
    <w:rsid w:val="00E95F07"/>
    <w:rsid w:val="00E95F67"/>
    <w:rsid w:val="00E96635"/>
    <w:rsid w:val="00E96EAA"/>
    <w:rsid w:val="00E970CD"/>
    <w:rsid w:val="00E97839"/>
    <w:rsid w:val="00E97EF9"/>
    <w:rsid w:val="00EA083D"/>
    <w:rsid w:val="00EA09B6"/>
    <w:rsid w:val="00EA11C1"/>
    <w:rsid w:val="00EA1D7D"/>
    <w:rsid w:val="00EA1EC8"/>
    <w:rsid w:val="00EA448A"/>
    <w:rsid w:val="00EA473A"/>
    <w:rsid w:val="00EA4C15"/>
    <w:rsid w:val="00EA52E2"/>
    <w:rsid w:val="00EA57F7"/>
    <w:rsid w:val="00EA5DB3"/>
    <w:rsid w:val="00EA5DF1"/>
    <w:rsid w:val="00EA6303"/>
    <w:rsid w:val="00EA6E98"/>
    <w:rsid w:val="00EA77CB"/>
    <w:rsid w:val="00EB04F8"/>
    <w:rsid w:val="00EB0E4A"/>
    <w:rsid w:val="00EB1803"/>
    <w:rsid w:val="00EB1818"/>
    <w:rsid w:val="00EB1D62"/>
    <w:rsid w:val="00EB2271"/>
    <w:rsid w:val="00EB2757"/>
    <w:rsid w:val="00EB418B"/>
    <w:rsid w:val="00EB41C5"/>
    <w:rsid w:val="00EB45C7"/>
    <w:rsid w:val="00EB50AA"/>
    <w:rsid w:val="00EB5E8C"/>
    <w:rsid w:val="00EB631F"/>
    <w:rsid w:val="00EB6AB4"/>
    <w:rsid w:val="00EB6C78"/>
    <w:rsid w:val="00EB73C7"/>
    <w:rsid w:val="00EB77DD"/>
    <w:rsid w:val="00EB7DB2"/>
    <w:rsid w:val="00EC006D"/>
    <w:rsid w:val="00EC081D"/>
    <w:rsid w:val="00EC1FBF"/>
    <w:rsid w:val="00EC2841"/>
    <w:rsid w:val="00EC377A"/>
    <w:rsid w:val="00EC37DF"/>
    <w:rsid w:val="00EC4862"/>
    <w:rsid w:val="00EC4B0E"/>
    <w:rsid w:val="00EC4F81"/>
    <w:rsid w:val="00EC5918"/>
    <w:rsid w:val="00EC62AC"/>
    <w:rsid w:val="00EC6E3D"/>
    <w:rsid w:val="00EC7A48"/>
    <w:rsid w:val="00EC7FBB"/>
    <w:rsid w:val="00ED095F"/>
    <w:rsid w:val="00ED0E37"/>
    <w:rsid w:val="00ED0FDD"/>
    <w:rsid w:val="00ED1F10"/>
    <w:rsid w:val="00ED216E"/>
    <w:rsid w:val="00ED270F"/>
    <w:rsid w:val="00ED27C2"/>
    <w:rsid w:val="00ED2909"/>
    <w:rsid w:val="00ED29B0"/>
    <w:rsid w:val="00ED2E6A"/>
    <w:rsid w:val="00ED3103"/>
    <w:rsid w:val="00ED349A"/>
    <w:rsid w:val="00ED374B"/>
    <w:rsid w:val="00ED38D4"/>
    <w:rsid w:val="00ED3C1F"/>
    <w:rsid w:val="00ED3CCE"/>
    <w:rsid w:val="00ED3E07"/>
    <w:rsid w:val="00ED3F9C"/>
    <w:rsid w:val="00ED428D"/>
    <w:rsid w:val="00ED4356"/>
    <w:rsid w:val="00ED4439"/>
    <w:rsid w:val="00ED4519"/>
    <w:rsid w:val="00ED4B30"/>
    <w:rsid w:val="00ED59EB"/>
    <w:rsid w:val="00ED5B30"/>
    <w:rsid w:val="00ED60CF"/>
    <w:rsid w:val="00ED628A"/>
    <w:rsid w:val="00ED662B"/>
    <w:rsid w:val="00ED6A45"/>
    <w:rsid w:val="00ED7D1E"/>
    <w:rsid w:val="00EE0364"/>
    <w:rsid w:val="00EE15A7"/>
    <w:rsid w:val="00EE1685"/>
    <w:rsid w:val="00EE185B"/>
    <w:rsid w:val="00EE216D"/>
    <w:rsid w:val="00EE2214"/>
    <w:rsid w:val="00EE26CC"/>
    <w:rsid w:val="00EE2B0F"/>
    <w:rsid w:val="00EE2DB2"/>
    <w:rsid w:val="00EE304C"/>
    <w:rsid w:val="00EE3A26"/>
    <w:rsid w:val="00EE4B31"/>
    <w:rsid w:val="00EE57D7"/>
    <w:rsid w:val="00EE5A1D"/>
    <w:rsid w:val="00EE625D"/>
    <w:rsid w:val="00EE6E79"/>
    <w:rsid w:val="00EE6FD5"/>
    <w:rsid w:val="00EE740F"/>
    <w:rsid w:val="00EE7F89"/>
    <w:rsid w:val="00EF00DE"/>
    <w:rsid w:val="00EF1EFA"/>
    <w:rsid w:val="00EF23A5"/>
    <w:rsid w:val="00EF245E"/>
    <w:rsid w:val="00EF299B"/>
    <w:rsid w:val="00EF2DA2"/>
    <w:rsid w:val="00EF368C"/>
    <w:rsid w:val="00EF4132"/>
    <w:rsid w:val="00EF49F9"/>
    <w:rsid w:val="00EF4FE0"/>
    <w:rsid w:val="00EF56AA"/>
    <w:rsid w:val="00EF587B"/>
    <w:rsid w:val="00EF58CB"/>
    <w:rsid w:val="00EF5F0C"/>
    <w:rsid w:val="00EF64DB"/>
    <w:rsid w:val="00EF6EBE"/>
    <w:rsid w:val="00EF7841"/>
    <w:rsid w:val="00F00DE5"/>
    <w:rsid w:val="00F0144D"/>
    <w:rsid w:val="00F016CF"/>
    <w:rsid w:val="00F022A8"/>
    <w:rsid w:val="00F025AC"/>
    <w:rsid w:val="00F025DD"/>
    <w:rsid w:val="00F02835"/>
    <w:rsid w:val="00F02DFC"/>
    <w:rsid w:val="00F02E5A"/>
    <w:rsid w:val="00F03220"/>
    <w:rsid w:val="00F03CC4"/>
    <w:rsid w:val="00F03EC6"/>
    <w:rsid w:val="00F0426F"/>
    <w:rsid w:val="00F0475C"/>
    <w:rsid w:val="00F04C1E"/>
    <w:rsid w:val="00F0524E"/>
    <w:rsid w:val="00F06F41"/>
    <w:rsid w:val="00F073B7"/>
    <w:rsid w:val="00F07816"/>
    <w:rsid w:val="00F1004D"/>
    <w:rsid w:val="00F104D3"/>
    <w:rsid w:val="00F10737"/>
    <w:rsid w:val="00F10DDE"/>
    <w:rsid w:val="00F10FCA"/>
    <w:rsid w:val="00F11222"/>
    <w:rsid w:val="00F11738"/>
    <w:rsid w:val="00F11810"/>
    <w:rsid w:val="00F1197D"/>
    <w:rsid w:val="00F128E9"/>
    <w:rsid w:val="00F12E93"/>
    <w:rsid w:val="00F12FAF"/>
    <w:rsid w:val="00F132F3"/>
    <w:rsid w:val="00F13A91"/>
    <w:rsid w:val="00F13BEB"/>
    <w:rsid w:val="00F145C0"/>
    <w:rsid w:val="00F14CE4"/>
    <w:rsid w:val="00F15139"/>
    <w:rsid w:val="00F16453"/>
    <w:rsid w:val="00F16AC2"/>
    <w:rsid w:val="00F16D81"/>
    <w:rsid w:val="00F17518"/>
    <w:rsid w:val="00F17555"/>
    <w:rsid w:val="00F176EE"/>
    <w:rsid w:val="00F17936"/>
    <w:rsid w:val="00F17B19"/>
    <w:rsid w:val="00F17EEA"/>
    <w:rsid w:val="00F21218"/>
    <w:rsid w:val="00F21613"/>
    <w:rsid w:val="00F221A3"/>
    <w:rsid w:val="00F22A27"/>
    <w:rsid w:val="00F22E1B"/>
    <w:rsid w:val="00F231DF"/>
    <w:rsid w:val="00F2320A"/>
    <w:rsid w:val="00F2369C"/>
    <w:rsid w:val="00F2376F"/>
    <w:rsid w:val="00F23D3C"/>
    <w:rsid w:val="00F23FF9"/>
    <w:rsid w:val="00F24006"/>
    <w:rsid w:val="00F24027"/>
    <w:rsid w:val="00F2420B"/>
    <w:rsid w:val="00F24223"/>
    <w:rsid w:val="00F2517D"/>
    <w:rsid w:val="00F25A1E"/>
    <w:rsid w:val="00F26614"/>
    <w:rsid w:val="00F2677A"/>
    <w:rsid w:val="00F26B67"/>
    <w:rsid w:val="00F27065"/>
    <w:rsid w:val="00F27B58"/>
    <w:rsid w:val="00F27B99"/>
    <w:rsid w:val="00F3065C"/>
    <w:rsid w:val="00F30903"/>
    <w:rsid w:val="00F30BA0"/>
    <w:rsid w:val="00F313A0"/>
    <w:rsid w:val="00F31F6B"/>
    <w:rsid w:val="00F320C3"/>
    <w:rsid w:val="00F32581"/>
    <w:rsid w:val="00F336D6"/>
    <w:rsid w:val="00F339F4"/>
    <w:rsid w:val="00F35365"/>
    <w:rsid w:val="00F35553"/>
    <w:rsid w:val="00F356F1"/>
    <w:rsid w:val="00F35DAC"/>
    <w:rsid w:val="00F36250"/>
    <w:rsid w:val="00F368A5"/>
    <w:rsid w:val="00F3700B"/>
    <w:rsid w:val="00F375A2"/>
    <w:rsid w:val="00F37680"/>
    <w:rsid w:val="00F37B33"/>
    <w:rsid w:val="00F40478"/>
    <w:rsid w:val="00F40E0F"/>
    <w:rsid w:val="00F40F50"/>
    <w:rsid w:val="00F40FC0"/>
    <w:rsid w:val="00F411F3"/>
    <w:rsid w:val="00F4205A"/>
    <w:rsid w:val="00F42235"/>
    <w:rsid w:val="00F424FA"/>
    <w:rsid w:val="00F434D4"/>
    <w:rsid w:val="00F43930"/>
    <w:rsid w:val="00F4443A"/>
    <w:rsid w:val="00F446EA"/>
    <w:rsid w:val="00F44B8F"/>
    <w:rsid w:val="00F45B55"/>
    <w:rsid w:val="00F45E73"/>
    <w:rsid w:val="00F467A7"/>
    <w:rsid w:val="00F46AA6"/>
    <w:rsid w:val="00F46C23"/>
    <w:rsid w:val="00F47A83"/>
    <w:rsid w:val="00F50118"/>
    <w:rsid w:val="00F514C7"/>
    <w:rsid w:val="00F515DD"/>
    <w:rsid w:val="00F51A39"/>
    <w:rsid w:val="00F51C81"/>
    <w:rsid w:val="00F51D21"/>
    <w:rsid w:val="00F520F8"/>
    <w:rsid w:val="00F52492"/>
    <w:rsid w:val="00F52944"/>
    <w:rsid w:val="00F52B49"/>
    <w:rsid w:val="00F53D8C"/>
    <w:rsid w:val="00F53E77"/>
    <w:rsid w:val="00F53EA2"/>
    <w:rsid w:val="00F53EF8"/>
    <w:rsid w:val="00F544A9"/>
    <w:rsid w:val="00F544F3"/>
    <w:rsid w:val="00F545EE"/>
    <w:rsid w:val="00F54BBF"/>
    <w:rsid w:val="00F557A7"/>
    <w:rsid w:val="00F55B99"/>
    <w:rsid w:val="00F55C10"/>
    <w:rsid w:val="00F56148"/>
    <w:rsid w:val="00F56F17"/>
    <w:rsid w:val="00F5761C"/>
    <w:rsid w:val="00F57D2C"/>
    <w:rsid w:val="00F604FE"/>
    <w:rsid w:val="00F60A55"/>
    <w:rsid w:val="00F6194F"/>
    <w:rsid w:val="00F619EF"/>
    <w:rsid w:val="00F61B08"/>
    <w:rsid w:val="00F628CF"/>
    <w:rsid w:val="00F632C6"/>
    <w:rsid w:val="00F636E1"/>
    <w:rsid w:val="00F63F1A"/>
    <w:rsid w:val="00F63F66"/>
    <w:rsid w:val="00F63F87"/>
    <w:rsid w:val="00F647CF"/>
    <w:rsid w:val="00F64C5F"/>
    <w:rsid w:val="00F65389"/>
    <w:rsid w:val="00F65EC7"/>
    <w:rsid w:val="00F66464"/>
    <w:rsid w:val="00F66841"/>
    <w:rsid w:val="00F66F8B"/>
    <w:rsid w:val="00F67BBA"/>
    <w:rsid w:val="00F70050"/>
    <w:rsid w:val="00F70058"/>
    <w:rsid w:val="00F70118"/>
    <w:rsid w:val="00F708E2"/>
    <w:rsid w:val="00F7182C"/>
    <w:rsid w:val="00F720FE"/>
    <w:rsid w:val="00F722A1"/>
    <w:rsid w:val="00F72894"/>
    <w:rsid w:val="00F72A02"/>
    <w:rsid w:val="00F73477"/>
    <w:rsid w:val="00F73D5D"/>
    <w:rsid w:val="00F7409D"/>
    <w:rsid w:val="00F748B4"/>
    <w:rsid w:val="00F74B7D"/>
    <w:rsid w:val="00F74CB8"/>
    <w:rsid w:val="00F757AF"/>
    <w:rsid w:val="00F757D8"/>
    <w:rsid w:val="00F75A0D"/>
    <w:rsid w:val="00F7659D"/>
    <w:rsid w:val="00F76791"/>
    <w:rsid w:val="00F76BEE"/>
    <w:rsid w:val="00F773A1"/>
    <w:rsid w:val="00F77654"/>
    <w:rsid w:val="00F80D1B"/>
    <w:rsid w:val="00F80EC2"/>
    <w:rsid w:val="00F80F61"/>
    <w:rsid w:val="00F81C45"/>
    <w:rsid w:val="00F8254B"/>
    <w:rsid w:val="00F834CC"/>
    <w:rsid w:val="00F83683"/>
    <w:rsid w:val="00F8373D"/>
    <w:rsid w:val="00F8438D"/>
    <w:rsid w:val="00F8467E"/>
    <w:rsid w:val="00F84D5D"/>
    <w:rsid w:val="00F85067"/>
    <w:rsid w:val="00F85C02"/>
    <w:rsid w:val="00F85C85"/>
    <w:rsid w:val="00F86012"/>
    <w:rsid w:val="00F86032"/>
    <w:rsid w:val="00F87311"/>
    <w:rsid w:val="00F87399"/>
    <w:rsid w:val="00F87920"/>
    <w:rsid w:val="00F879BB"/>
    <w:rsid w:val="00F87ACE"/>
    <w:rsid w:val="00F87D13"/>
    <w:rsid w:val="00F89909"/>
    <w:rsid w:val="00F905BE"/>
    <w:rsid w:val="00F9088B"/>
    <w:rsid w:val="00F90A34"/>
    <w:rsid w:val="00F91642"/>
    <w:rsid w:val="00F91EC4"/>
    <w:rsid w:val="00F92277"/>
    <w:rsid w:val="00F92312"/>
    <w:rsid w:val="00F92648"/>
    <w:rsid w:val="00F926B6"/>
    <w:rsid w:val="00F92F2D"/>
    <w:rsid w:val="00F930C3"/>
    <w:rsid w:val="00F93C9F"/>
    <w:rsid w:val="00F93E95"/>
    <w:rsid w:val="00F93F8D"/>
    <w:rsid w:val="00F94566"/>
    <w:rsid w:val="00F95DE4"/>
    <w:rsid w:val="00F95FFF"/>
    <w:rsid w:val="00F9687C"/>
    <w:rsid w:val="00F97160"/>
    <w:rsid w:val="00F97538"/>
    <w:rsid w:val="00F97753"/>
    <w:rsid w:val="00FA0822"/>
    <w:rsid w:val="00FA12B9"/>
    <w:rsid w:val="00FA1E7B"/>
    <w:rsid w:val="00FA209D"/>
    <w:rsid w:val="00FA2561"/>
    <w:rsid w:val="00FA37C1"/>
    <w:rsid w:val="00FA3AB5"/>
    <w:rsid w:val="00FA3C7A"/>
    <w:rsid w:val="00FA3DB3"/>
    <w:rsid w:val="00FA40F0"/>
    <w:rsid w:val="00FA417B"/>
    <w:rsid w:val="00FA512A"/>
    <w:rsid w:val="00FA51A5"/>
    <w:rsid w:val="00FA6067"/>
    <w:rsid w:val="00FA623F"/>
    <w:rsid w:val="00FA660A"/>
    <w:rsid w:val="00FA66BE"/>
    <w:rsid w:val="00FA75A3"/>
    <w:rsid w:val="00FA7DE8"/>
    <w:rsid w:val="00FA7F7B"/>
    <w:rsid w:val="00FB0572"/>
    <w:rsid w:val="00FB082B"/>
    <w:rsid w:val="00FB15CE"/>
    <w:rsid w:val="00FB363F"/>
    <w:rsid w:val="00FB3A6D"/>
    <w:rsid w:val="00FB3CC7"/>
    <w:rsid w:val="00FB3DB8"/>
    <w:rsid w:val="00FB4893"/>
    <w:rsid w:val="00FB4EBA"/>
    <w:rsid w:val="00FB50E8"/>
    <w:rsid w:val="00FB54E7"/>
    <w:rsid w:val="00FB6197"/>
    <w:rsid w:val="00FB6745"/>
    <w:rsid w:val="00FB6780"/>
    <w:rsid w:val="00FB7294"/>
    <w:rsid w:val="00FB72C0"/>
    <w:rsid w:val="00FB7620"/>
    <w:rsid w:val="00FB781B"/>
    <w:rsid w:val="00FB790A"/>
    <w:rsid w:val="00FC03F3"/>
    <w:rsid w:val="00FC060C"/>
    <w:rsid w:val="00FC07C0"/>
    <w:rsid w:val="00FC0A65"/>
    <w:rsid w:val="00FC0DF9"/>
    <w:rsid w:val="00FC0EDE"/>
    <w:rsid w:val="00FC0FEA"/>
    <w:rsid w:val="00FC151F"/>
    <w:rsid w:val="00FC16CF"/>
    <w:rsid w:val="00FC1D98"/>
    <w:rsid w:val="00FC1F1B"/>
    <w:rsid w:val="00FC373B"/>
    <w:rsid w:val="00FC37D3"/>
    <w:rsid w:val="00FC4D62"/>
    <w:rsid w:val="00FC4D98"/>
    <w:rsid w:val="00FC4DAD"/>
    <w:rsid w:val="00FC55EA"/>
    <w:rsid w:val="00FC5C13"/>
    <w:rsid w:val="00FC673A"/>
    <w:rsid w:val="00FC67D6"/>
    <w:rsid w:val="00FC6BC3"/>
    <w:rsid w:val="00FC7094"/>
    <w:rsid w:val="00FC795A"/>
    <w:rsid w:val="00FD03F4"/>
    <w:rsid w:val="00FD0683"/>
    <w:rsid w:val="00FD075F"/>
    <w:rsid w:val="00FD0F8C"/>
    <w:rsid w:val="00FD1897"/>
    <w:rsid w:val="00FD1FD9"/>
    <w:rsid w:val="00FD20C5"/>
    <w:rsid w:val="00FD2152"/>
    <w:rsid w:val="00FD2648"/>
    <w:rsid w:val="00FD3483"/>
    <w:rsid w:val="00FD395E"/>
    <w:rsid w:val="00FD40E4"/>
    <w:rsid w:val="00FD4A86"/>
    <w:rsid w:val="00FD5649"/>
    <w:rsid w:val="00FD5835"/>
    <w:rsid w:val="00FD5A07"/>
    <w:rsid w:val="00FD5FBC"/>
    <w:rsid w:val="00FD6C81"/>
    <w:rsid w:val="00FD6F6A"/>
    <w:rsid w:val="00FD75CE"/>
    <w:rsid w:val="00FD7BFB"/>
    <w:rsid w:val="00FD7C58"/>
    <w:rsid w:val="00FD7E46"/>
    <w:rsid w:val="00FE099F"/>
    <w:rsid w:val="00FE0C42"/>
    <w:rsid w:val="00FE115B"/>
    <w:rsid w:val="00FE13EC"/>
    <w:rsid w:val="00FE142E"/>
    <w:rsid w:val="00FE196B"/>
    <w:rsid w:val="00FE19AC"/>
    <w:rsid w:val="00FE1F00"/>
    <w:rsid w:val="00FE21CD"/>
    <w:rsid w:val="00FE2402"/>
    <w:rsid w:val="00FE2705"/>
    <w:rsid w:val="00FE30A1"/>
    <w:rsid w:val="00FE36A9"/>
    <w:rsid w:val="00FE3700"/>
    <w:rsid w:val="00FE4708"/>
    <w:rsid w:val="00FE4A12"/>
    <w:rsid w:val="00FE6951"/>
    <w:rsid w:val="00FE752E"/>
    <w:rsid w:val="00FE7586"/>
    <w:rsid w:val="00FE7716"/>
    <w:rsid w:val="00FF1024"/>
    <w:rsid w:val="00FF14EE"/>
    <w:rsid w:val="00FF21B7"/>
    <w:rsid w:val="00FF22BC"/>
    <w:rsid w:val="00FF286E"/>
    <w:rsid w:val="00FF2D8E"/>
    <w:rsid w:val="00FF32B7"/>
    <w:rsid w:val="00FF3EB0"/>
    <w:rsid w:val="00FF3F79"/>
    <w:rsid w:val="00FF4076"/>
    <w:rsid w:val="00FF431C"/>
    <w:rsid w:val="00FF4548"/>
    <w:rsid w:val="00FF4689"/>
    <w:rsid w:val="00FF4B27"/>
    <w:rsid w:val="00FF4DE3"/>
    <w:rsid w:val="00FF5173"/>
    <w:rsid w:val="00FF53DC"/>
    <w:rsid w:val="00FF5603"/>
    <w:rsid w:val="00FF5CF3"/>
    <w:rsid w:val="00FF6861"/>
    <w:rsid w:val="00FF6BDD"/>
    <w:rsid w:val="00FF7611"/>
    <w:rsid w:val="00FF76B7"/>
    <w:rsid w:val="00FF79D1"/>
    <w:rsid w:val="00FF7DC0"/>
    <w:rsid w:val="00FF7EB6"/>
    <w:rsid w:val="00FF7FBA"/>
    <w:rsid w:val="012286BD"/>
    <w:rsid w:val="012DCC3D"/>
    <w:rsid w:val="017BF97D"/>
    <w:rsid w:val="0181110D"/>
    <w:rsid w:val="01C42732"/>
    <w:rsid w:val="01C77902"/>
    <w:rsid w:val="01E4E2F8"/>
    <w:rsid w:val="01EDB7EE"/>
    <w:rsid w:val="01F59E9D"/>
    <w:rsid w:val="0203DF22"/>
    <w:rsid w:val="023CCEA4"/>
    <w:rsid w:val="02461C20"/>
    <w:rsid w:val="0248448E"/>
    <w:rsid w:val="0250668B"/>
    <w:rsid w:val="02610749"/>
    <w:rsid w:val="02B3CB2E"/>
    <w:rsid w:val="02BAEB50"/>
    <w:rsid w:val="02DF5CB3"/>
    <w:rsid w:val="02EE8B94"/>
    <w:rsid w:val="02FE54D5"/>
    <w:rsid w:val="0311C200"/>
    <w:rsid w:val="03344B9A"/>
    <w:rsid w:val="034AE478"/>
    <w:rsid w:val="03501B4E"/>
    <w:rsid w:val="036F6428"/>
    <w:rsid w:val="03AA89C6"/>
    <w:rsid w:val="03C07059"/>
    <w:rsid w:val="03C96FED"/>
    <w:rsid w:val="03D6185A"/>
    <w:rsid w:val="03EE3063"/>
    <w:rsid w:val="03F03AE9"/>
    <w:rsid w:val="040148D6"/>
    <w:rsid w:val="04881D87"/>
    <w:rsid w:val="04882F38"/>
    <w:rsid w:val="04BE6BE4"/>
    <w:rsid w:val="04FE3615"/>
    <w:rsid w:val="0535B653"/>
    <w:rsid w:val="054E7A37"/>
    <w:rsid w:val="05B2649B"/>
    <w:rsid w:val="05C2B3D1"/>
    <w:rsid w:val="05D6BED8"/>
    <w:rsid w:val="05EFA8BD"/>
    <w:rsid w:val="05FBC561"/>
    <w:rsid w:val="062C160B"/>
    <w:rsid w:val="065E451A"/>
    <w:rsid w:val="0663544C"/>
    <w:rsid w:val="06801315"/>
    <w:rsid w:val="068E633C"/>
    <w:rsid w:val="06AC7C94"/>
    <w:rsid w:val="06C3AF0F"/>
    <w:rsid w:val="0718899E"/>
    <w:rsid w:val="072E4470"/>
    <w:rsid w:val="07414630"/>
    <w:rsid w:val="075398DC"/>
    <w:rsid w:val="07760840"/>
    <w:rsid w:val="07DEA949"/>
    <w:rsid w:val="07EFEF46"/>
    <w:rsid w:val="07F9C436"/>
    <w:rsid w:val="07FC659A"/>
    <w:rsid w:val="07FE0D9D"/>
    <w:rsid w:val="07FE6430"/>
    <w:rsid w:val="080F5645"/>
    <w:rsid w:val="082479D2"/>
    <w:rsid w:val="0824D6C8"/>
    <w:rsid w:val="08894616"/>
    <w:rsid w:val="08AB3C79"/>
    <w:rsid w:val="08B25EED"/>
    <w:rsid w:val="08B6D8EE"/>
    <w:rsid w:val="08EC27E7"/>
    <w:rsid w:val="09238C12"/>
    <w:rsid w:val="0944A78B"/>
    <w:rsid w:val="098D4BC9"/>
    <w:rsid w:val="09A476E5"/>
    <w:rsid w:val="09C4773E"/>
    <w:rsid w:val="09D55CB0"/>
    <w:rsid w:val="0A0237EC"/>
    <w:rsid w:val="0A0A02A8"/>
    <w:rsid w:val="0A25240C"/>
    <w:rsid w:val="0A35EA9C"/>
    <w:rsid w:val="0AA42F3E"/>
    <w:rsid w:val="0AAB48FB"/>
    <w:rsid w:val="0ABBFF39"/>
    <w:rsid w:val="0B132A7D"/>
    <w:rsid w:val="0B50FF78"/>
    <w:rsid w:val="0B780B3E"/>
    <w:rsid w:val="0B836F2B"/>
    <w:rsid w:val="0B987C5F"/>
    <w:rsid w:val="0BAF7BEA"/>
    <w:rsid w:val="0C0EE0D2"/>
    <w:rsid w:val="0C110BE1"/>
    <w:rsid w:val="0C114514"/>
    <w:rsid w:val="0C12E3DD"/>
    <w:rsid w:val="0C204E7A"/>
    <w:rsid w:val="0CBEA21E"/>
    <w:rsid w:val="0CBF260C"/>
    <w:rsid w:val="0CEC091C"/>
    <w:rsid w:val="0D3275AE"/>
    <w:rsid w:val="0D46FF89"/>
    <w:rsid w:val="0DC723CA"/>
    <w:rsid w:val="0E2972B6"/>
    <w:rsid w:val="0E4A6D62"/>
    <w:rsid w:val="0E4D0BA0"/>
    <w:rsid w:val="0E672803"/>
    <w:rsid w:val="0E886C20"/>
    <w:rsid w:val="0EA29B34"/>
    <w:rsid w:val="0EB2D9EC"/>
    <w:rsid w:val="0EC76524"/>
    <w:rsid w:val="0F1F6053"/>
    <w:rsid w:val="0F27A253"/>
    <w:rsid w:val="0F6AC16B"/>
    <w:rsid w:val="0F6FFF0A"/>
    <w:rsid w:val="0F9F5407"/>
    <w:rsid w:val="0FF482AD"/>
    <w:rsid w:val="10071783"/>
    <w:rsid w:val="10426859"/>
    <w:rsid w:val="108F4154"/>
    <w:rsid w:val="109567A4"/>
    <w:rsid w:val="10A0A7F6"/>
    <w:rsid w:val="10CAD1DE"/>
    <w:rsid w:val="110C35EE"/>
    <w:rsid w:val="111F4FCC"/>
    <w:rsid w:val="1149F166"/>
    <w:rsid w:val="116615B8"/>
    <w:rsid w:val="116F1D72"/>
    <w:rsid w:val="119A329D"/>
    <w:rsid w:val="119A8AAA"/>
    <w:rsid w:val="11B9EF78"/>
    <w:rsid w:val="11D2B6B3"/>
    <w:rsid w:val="11D7D7F1"/>
    <w:rsid w:val="11F56368"/>
    <w:rsid w:val="1207A1BB"/>
    <w:rsid w:val="123439CE"/>
    <w:rsid w:val="125B10FA"/>
    <w:rsid w:val="127415BD"/>
    <w:rsid w:val="12A32009"/>
    <w:rsid w:val="130B3B23"/>
    <w:rsid w:val="139DF66C"/>
    <w:rsid w:val="13A39C72"/>
    <w:rsid w:val="13A759A4"/>
    <w:rsid w:val="13C68D75"/>
    <w:rsid w:val="14132712"/>
    <w:rsid w:val="143DB22A"/>
    <w:rsid w:val="145331A9"/>
    <w:rsid w:val="1465A741"/>
    <w:rsid w:val="1493D3B3"/>
    <w:rsid w:val="14ABC80E"/>
    <w:rsid w:val="14E2CD65"/>
    <w:rsid w:val="153DD25C"/>
    <w:rsid w:val="15504EB9"/>
    <w:rsid w:val="1589DE7A"/>
    <w:rsid w:val="1589F5D7"/>
    <w:rsid w:val="15C2867E"/>
    <w:rsid w:val="15FEA444"/>
    <w:rsid w:val="1640D35D"/>
    <w:rsid w:val="1656D8A3"/>
    <w:rsid w:val="167ABB4A"/>
    <w:rsid w:val="16987633"/>
    <w:rsid w:val="171AB033"/>
    <w:rsid w:val="17499E94"/>
    <w:rsid w:val="17570B78"/>
    <w:rsid w:val="17CAAB27"/>
    <w:rsid w:val="17EA180C"/>
    <w:rsid w:val="1802C6C9"/>
    <w:rsid w:val="183A9BCC"/>
    <w:rsid w:val="1845C175"/>
    <w:rsid w:val="1868D1E6"/>
    <w:rsid w:val="187B2F89"/>
    <w:rsid w:val="18801B60"/>
    <w:rsid w:val="188A4684"/>
    <w:rsid w:val="18CA80A1"/>
    <w:rsid w:val="1908B512"/>
    <w:rsid w:val="1917921C"/>
    <w:rsid w:val="191B3A21"/>
    <w:rsid w:val="1934AA9F"/>
    <w:rsid w:val="193BE248"/>
    <w:rsid w:val="19451C28"/>
    <w:rsid w:val="19484B7F"/>
    <w:rsid w:val="19D3AA86"/>
    <w:rsid w:val="1A0A37D7"/>
    <w:rsid w:val="1A204EAF"/>
    <w:rsid w:val="1A3AB4D1"/>
    <w:rsid w:val="1A593985"/>
    <w:rsid w:val="1A644906"/>
    <w:rsid w:val="1A717D1F"/>
    <w:rsid w:val="1ABF83BB"/>
    <w:rsid w:val="1ACCE5E8"/>
    <w:rsid w:val="1AD839E6"/>
    <w:rsid w:val="1AE3745C"/>
    <w:rsid w:val="1AFA1BCC"/>
    <w:rsid w:val="1B043718"/>
    <w:rsid w:val="1B4A3ECE"/>
    <w:rsid w:val="1B835022"/>
    <w:rsid w:val="1BAED14A"/>
    <w:rsid w:val="1BB18341"/>
    <w:rsid w:val="1BC29196"/>
    <w:rsid w:val="1BCAAF89"/>
    <w:rsid w:val="1C0340EE"/>
    <w:rsid w:val="1C18884B"/>
    <w:rsid w:val="1C897AA8"/>
    <w:rsid w:val="1D132FEC"/>
    <w:rsid w:val="1D15D237"/>
    <w:rsid w:val="1D3F6546"/>
    <w:rsid w:val="1D4E02D2"/>
    <w:rsid w:val="1D54FB97"/>
    <w:rsid w:val="1E08BE47"/>
    <w:rsid w:val="1E097D83"/>
    <w:rsid w:val="1E3E8179"/>
    <w:rsid w:val="1EA72221"/>
    <w:rsid w:val="1ED7710C"/>
    <w:rsid w:val="1F2941D9"/>
    <w:rsid w:val="1F4FF249"/>
    <w:rsid w:val="1F6B7C79"/>
    <w:rsid w:val="1F6FC4E9"/>
    <w:rsid w:val="1F9CDAB1"/>
    <w:rsid w:val="1F9DD24B"/>
    <w:rsid w:val="1FA914CE"/>
    <w:rsid w:val="1FB2E8C5"/>
    <w:rsid w:val="1FCC88D7"/>
    <w:rsid w:val="1FCD9F7C"/>
    <w:rsid w:val="2014BD7A"/>
    <w:rsid w:val="2078D9A9"/>
    <w:rsid w:val="208CF7CB"/>
    <w:rsid w:val="20B21733"/>
    <w:rsid w:val="20E8D4E1"/>
    <w:rsid w:val="20F9A1B2"/>
    <w:rsid w:val="20FA9B68"/>
    <w:rsid w:val="20FE7B57"/>
    <w:rsid w:val="21650684"/>
    <w:rsid w:val="21AE7AFC"/>
    <w:rsid w:val="21D113E1"/>
    <w:rsid w:val="222500BF"/>
    <w:rsid w:val="2235114F"/>
    <w:rsid w:val="223C7F3F"/>
    <w:rsid w:val="225B01BF"/>
    <w:rsid w:val="2294BC08"/>
    <w:rsid w:val="22B49C52"/>
    <w:rsid w:val="22C27292"/>
    <w:rsid w:val="22D71200"/>
    <w:rsid w:val="22ECFD1E"/>
    <w:rsid w:val="2333AB1F"/>
    <w:rsid w:val="23340702"/>
    <w:rsid w:val="2336C2AF"/>
    <w:rsid w:val="23507056"/>
    <w:rsid w:val="23C00071"/>
    <w:rsid w:val="23DE4931"/>
    <w:rsid w:val="23F371BF"/>
    <w:rsid w:val="240023A7"/>
    <w:rsid w:val="24861CD3"/>
    <w:rsid w:val="24CE3E2B"/>
    <w:rsid w:val="24DE4810"/>
    <w:rsid w:val="24E7E8BE"/>
    <w:rsid w:val="250F3DEE"/>
    <w:rsid w:val="258319A6"/>
    <w:rsid w:val="2587EAC8"/>
    <w:rsid w:val="258C6791"/>
    <w:rsid w:val="25B8E109"/>
    <w:rsid w:val="25BF0427"/>
    <w:rsid w:val="268C650C"/>
    <w:rsid w:val="26AE4D8E"/>
    <w:rsid w:val="274FEDAA"/>
    <w:rsid w:val="277903CC"/>
    <w:rsid w:val="278078C5"/>
    <w:rsid w:val="2793B7EF"/>
    <w:rsid w:val="27D7AC9F"/>
    <w:rsid w:val="27DA7326"/>
    <w:rsid w:val="282162F6"/>
    <w:rsid w:val="28329131"/>
    <w:rsid w:val="285128F4"/>
    <w:rsid w:val="28888345"/>
    <w:rsid w:val="28A9CEFB"/>
    <w:rsid w:val="29074A0B"/>
    <w:rsid w:val="2911FA18"/>
    <w:rsid w:val="2987D875"/>
    <w:rsid w:val="298B68D8"/>
    <w:rsid w:val="299EE0F6"/>
    <w:rsid w:val="2A1C8D64"/>
    <w:rsid w:val="2A260B84"/>
    <w:rsid w:val="2A352561"/>
    <w:rsid w:val="2A4C7E0A"/>
    <w:rsid w:val="2A784807"/>
    <w:rsid w:val="2ACD1CD3"/>
    <w:rsid w:val="2B18E200"/>
    <w:rsid w:val="2B360BF4"/>
    <w:rsid w:val="2B37EED0"/>
    <w:rsid w:val="2B494A27"/>
    <w:rsid w:val="2B571B41"/>
    <w:rsid w:val="2B886AEB"/>
    <w:rsid w:val="2BA63A83"/>
    <w:rsid w:val="2BC591F8"/>
    <w:rsid w:val="2BDB738F"/>
    <w:rsid w:val="2BE58E18"/>
    <w:rsid w:val="2BF31C02"/>
    <w:rsid w:val="2C1E9A39"/>
    <w:rsid w:val="2C518765"/>
    <w:rsid w:val="2C564C9A"/>
    <w:rsid w:val="2CAD560A"/>
    <w:rsid w:val="2CC2E838"/>
    <w:rsid w:val="2CCFF8B5"/>
    <w:rsid w:val="2CEA89AE"/>
    <w:rsid w:val="2D08F111"/>
    <w:rsid w:val="2D0B3E43"/>
    <w:rsid w:val="2D2C28D2"/>
    <w:rsid w:val="2D41F398"/>
    <w:rsid w:val="2D9D20D9"/>
    <w:rsid w:val="2DB7D427"/>
    <w:rsid w:val="2DC23120"/>
    <w:rsid w:val="2DC795BD"/>
    <w:rsid w:val="2DD90856"/>
    <w:rsid w:val="2E1C9281"/>
    <w:rsid w:val="2E3644CF"/>
    <w:rsid w:val="2E7A5E16"/>
    <w:rsid w:val="2E9FD5EC"/>
    <w:rsid w:val="2EDC9DD8"/>
    <w:rsid w:val="2F19A4A1"/>
    <w:rsid w:val="2F8A6C36"/>
    <w:rsid w:val="2F980619"/>
    <w:rsid w:val="2FBC7134"/>
    <w:rsid w:val="2FBD5A55"/>
    <w:rsid w:val="300DBDD3"/>
    <w:rsid w:val="30228F17"/>
    <w:rsid w:val="3029E45C"/>
    <w:rsid w:val="30489C65"/>
    <w:rsid w:val="304E2B0A"/>
    <w:rsid w:val="306DB5BA"/>
    <w:rsid w:val="30700026"/>
    <w:rsid w:val="30C8DD2B"/>
    <w:rsid w:val="3102B4B0"/>
    <w:rsid w:val="31141223"/>
    <w:rsid w:val="313A0FE6"/>
    <w:rsid w:val="314BBB4F"/>
    <w:rsid w:val="315A4FFB"/>
    <w:rsid w:val="316206C6"/>
    <w:rsid w:val="31D9EF84"/>
    <w:rsid w:val="31F1B1F9"/>
    <w:rsid w:val="3281403E"/>
    <w:rsid w:val="329B7EE9"/>
    <w:rsid w:val="32A05CE8"/>
    <w:rsid w:val="32A3AA1B"/>
    <w:rsid w:val="32A5F523"/>
    <w:rsid w:val="32D05A56"/>
    <w:rsid w:val="32ED8C72"/>
    <w:rsid w:val="332D97F9"/>
    <w:rsid w:val="33351407"/>
    <w:rsid w:val="33721BB1"/>
    <w:rsid w:val="33AF661B"/>
    <w:rsid w:val="33E0F8E0"/>
    <w:rsid w:val="33E1A8FA"/>
    <w:rsid w:val="3408FA68"/>
    <w:rsid w:val="3447965A"/>
    <w:rsid w:val="3452909B"/>
    <w:rsid w:val="34601D28"/>
    <w:rsid w:val="347AC1B2"/>
    <w:rsid w:val="34A6930B"/>
    <w:rsid w:val="34BF5C91"/>
    <w:rsid w:val="34C6B29F"/>
    <w:rsid w:val="34CD43D2"/>
    <w:rsid w:val="34E630A2"/>
    <w:rsid w:val="351323DD"/>
    <w:rsid w:val="35210F47"/>
    <w:rsid w:val="3576A862"/>
    <w:rsid w:val="35A26AB6"/>
    <w:rsid w:val="35C70314"/>
    <w:rsid w:val="35CC5F56"/>
    <w:rsid w:val="35D9B2A3"/>
    <w:rsid w:val="35E1F478"/>
    <w:rsid w:val="35E9C168"/>
    <w:rsid w:val="361D7AA2"/>
    <w:rsid w:val="3620378E"/>
    <w:rsid w:val="363F44E5"/>
    <w:rsid w:val="365DD776"/>
    <w:rsid w:val="36B2EB78"/>
    <w:rsid w:val="36DB29BC"/>
    <w:rsid w:val="36E327EF"/>
    <w:rsid w:val="3700BCC4"/>
    <w:rsid w:val="37043344"/>
    <w:rsid w:val="375799ED"/>
    <w:rsid w:val="375D56C6"/>
    <w:rsid w:val="378038D9"/>
    <w:rsid w:val="37A81608"/>
    <w:rsid w:val="37E7E0BF"/>
    <w:rsid w:val="3826A2FB"/>
    <w:rsid w:val="38330B93"/>
    <w:rsid w:val="3892C696"/>
    <w:rsid w:val="3896D3BE"/>
    <w:rsid w:val="38FA5617"/>
    <w:rsid w:val="39278D62"/>
    <w:rsid w:val="3962D49B"/>
    <w:rsid w:val="397917F6"/>
    <w:rsid w:val="399B1BAB"/>
    <w:rsid w:val="39B76162"/>
    <w:rsid w:val="39E9257F"/>
    <w:rsid w:val="3A05825D"/>
    <w:rsid w:val="3A122CE7"/>
    <w:rsid w:val="3A1E3496"/>
    <w:rsid w:val="3A2A3CB0"/>
    <w:rsid w:val="3A336F56"/>
    <w:rsid w:val="3A3744B5"/>
    <w:rsid w:val="3A73B0CA"/>
    <w:rsid w:val="3A773C9F"/>
    <w:rsid w:val="3A8389E0"/>
    <w:rsid w:val="3A9E7F66"/>
    <w:rsid w:val="3AAA3FDD"/>
    <w:rsid w:val="3AE2A9EE"/>
    <w:rsid w:val="3B1AFAC6"/>
    <w:rsid w:val="3B2BD8D0"/>
    <w:rsid w:val="3B4C8799"/>
    <w:rsid w:val="3B6161F3"/>
    <w:rsid w:val="3BF71832"/>
    <w:rsid w:val="3C0602AF"/>
    <w:rsid w:val="3C3E441A"/>
    <w:rsid w:val="3C5723AB"/>
    <w:rsid w:val="3C671F56"/>
    <w:rsid w:val="3C9C5EA4"/>
    <w:rsid w:val="3CA1761F"/>
    <w:rsid w:val="3CB0B8B8"/>
    <w:rsid w:val="3CC43B87"/>
    <w:rsid w:val="3CDFD00A"/>
    <w:rsid w:val="3D371EA1"/>
    <w:rsid w:val="3D6D1838"/>
    <w:rsid w:val="3DF5C014"/>
    <w:rsid w:val="3DFC5CF6"/>
    <w:rsid w:val="3E56F80B"/>
    <w:rsid w:val="3E7BC2BD"/>
    <w:rsid w:val="3E88B485"/>
    <w:rsid w:val="3E9148BE"/>
    <w:rsid w:val="3F0DFAE4"/>
    <w:rsid w:val="3F309FEB"/>
    <w:rsid w:val="3F3CC754"/>
    <w:rsid w:val="3F566F08"/>
    <w:rsid w:val="3F70EF7D"/>
    <w:rsid w:val="3F832AAE"/>
    <w:rsid w:val="3F9332B1"/>
    <w:rsid w:val="3FC334CF"/>
    <w:rsid w:val="3FECDB01"/>
    <w:rsid w:val="3FEFA766"/>
    <w:rsid w:val="4000EEC5"/>
    <w:rsid w:val="4011806C"/>
    <w:rsid w:val="4012F91C"/>
    <w:rsid w:val="4027FDA8"/>
    <w:rsid w:val="403322BF"/>
    <w:rsid w:val="4036F12C"/>
    <w:rsid w:val="4049BAE4"/>
    <w:rsid w:val="4066848F"/>
    <w:rsid w:val="4076F806"/>
    <w:rsid w:val="409E3C6D"/>
    <w:rsid w:val="40E80B82"/>
    <w:rsid w:val="411B10C2"/>
    <w:rsid w:val="4179C85E"/>
    <w:rsid w:val="41837DB4"/>
    <w:rsid w:val="4199CC32"/>
    <w:rsid w:val="41A53171"/>
    <w:rsid w:val="41C2EC5A"/>
    <w:rsid w:val="420F06E9"/>
    <w:rsid w:val="4234A49B"/>
    <w:rsid w:val="423AD5B8"/>
    <w:rsid w:val="4260CB31"/>
    <w:rsid w:val="42986106"/>
    <w:rsid w:val="42B46047"/>
    <w:rsid w:val="42B58493"/>
    <w:rsid w:val="42B98FDD"/>
    <w:rsid w:val="431126FB"/>
    <w:rsid w:val="43522C7D"/>
    <w:rsid w:val="43573AD8"/>
    <w:rsid w:val="435B8E30"/>
    <w:rsid w:val="435FABA1"/>
    <w:rsid w:val="436CE867"/>
    <w:rsid w:val="43A0A9B6"/>
    <w:rsid w:val="43A359DB"/>
    <w:rsid w:val="44266BCF"/>
    <w:rsid w:val="445BC571"/>
    <w:rsid w:val="4496FD8A"/>
    <w:rsid w:val="4514724A"/>
    <w:rsid w:val="452F0A43"/>
    <w:rsid w:val="4543D325"/>
    <w:rsid w:val="45844A61"/>
    <w:rsid w:val="458BE03A"/>
    <w:rsid w:val="45AA553F"/>
    <w:rsid w:val="45CA5637"/>
    <w:rsid w:val="45EF3EF5"/>
    <w:rsid w:val="4619ACC1"/>
    <w:rsid w:val="4637FE8C"/>
    <w:rsid w:val="4652ECEC"/>
    <w:rsid w:val="46538907"/>
    <w:rsid w:val="46F0EA35"/>
    <w:rsid w:val="4729C522"/>
    <w:rsid w:val="472E19A3"/>
    <w:rsid w:val="472E75FC"/>
    <w:rsid w:val="479E2B60"/>
    <w:rsid w:val="47D09A63"/>
    <w:rsid w:val="47D60586"/>
    <w:rsid w:val="47F53EA7"/>
    <w:rsid w:val="484B8F82"/>
    <w:rsid w:val="4859B667"/>
    <w:rsid w:val="48B9DFFC"/>
    <w:rsid w:val="48DD1A79"/>
    <w:rsid w:val="490673B6"/>
    <w:rsid w:val="4930F01E"/>
    <w:rsid w:val="4982F109"/>
    <w:rsid w:val="49C88B3F"/>
    <w:rsid w:val="49DAE2A1"/>
    <w:rsid w:val="49E29B7B"/>
    <w:rsid w:val="4A3D53E7"/>
    <w:rsid w:val="4A4D27EB"/>
    <w:rsid w:val="4A5C1232"/>
    <w:rsid w:val="4A9CCAD2"/>
    <w:rsid w:val="4ADBFEA6"/>
    <w:rsid w:val="4AFF87AB"/>
    <w:rsid w:val="4B1779E5"/>
    <w:rsid w:val="4B1B7AF2"/>
    <w:rsid w:val="4B500869"/>
    <w:rsid w:val="4B666768"/>
    <w:rsid w:val="4B96CC22"/>
    <w:rsid w:val="4BC6AA90"/>
    <w:rsid w:val="4C21E8F0"/>
    <w:rsid w:val="4C75B191"/>
    <w:rsid w:val="4C9E8A97"/>
    <w:rsid w:val="4CEA2E6E"/>
    <w:rsid w:val="4D164A20"/>
    <w:rsid w:val="4D4C20F1"/>
    <w:rsid w:val="4D865CF8"/>
    <w:rsid w:val="4D8A8C92"/>
    <w:rsid w:val="4DBD53AF"/>
    <w:rsid w:val="4DFCD334"/>
    <w:rsid w:val="4E0B21BA"/>
    <w:rsid w:val="4E72F3DE"/>
    <w:rsid w:val="4E808012"/>
    <w:rsid w:val="4E852F0F"/>
    <w:rsid w:val="4EAE8F53"/>
    <w:rsid w:val="4EC6D7C7"/>
    <w:rsid w:val="4EC8F9E4"/>
    <w:rsid w:val="4EFC8664"/>
    <w:rsid w:val="4F178CDD"/>
    <w:rsid w:val="4F7DC701"/>
    <w:rsid w:val="4F9454F5"/>
    <w:rsid w:val="4FB0675B"/>
    <w:rsid w:val="4FDFB18D"/>
    <w:rsid w:val="4FE1D7FE"/>
    <w:rsid w:val="4FFA66AA"/>
    <w:rsid w:val="50179754"/>
    <w:rsid w:val="5035EAB0"/>
    <w:rsid w:val="5069854B"/>
    <w:rsid w:val="507BD46A"/>
    <w:rsid w:val="50973AC7"/>
    <w:rsid w:val="509DC2DD"/>
    <w:rsid w:val="50BDE0B2"/>
    <w:rsid w:val="50C9A9E6"/>
    <w:rsid w:val="50CB5524"/>
    <w:rsid w:val="50E7FC47"/>
    <w:rsid w:val="5107F65B"/>
    <w:rsid w:val="51341312"/>
    <w:rsid w:val="517059F2"/>
    <w:rsid w:val="51793D79"/>
    <w:rsid w:val="51A6EBD9"/>
    <w:rsid w:val="51C4ED47"/>
    <w:rsid w:val="51DBA410"/>
    <w:rsid w:val="5229B67A"/>
    <w:rsid w:val="525E3908"/>
    <w:rsid w:val="5273CEB1"/>
    <w:rsid w:val="5278C2E9"/>
    <w:rsid w:val="52DF450D"/>
    <w:rsid w:val="5321C27C"/>
    <w:rsid w:val="533EC47D"/>
    <w:rsid w:val="533F4768"/>
    <w:rsid w:val="533FB036"/>
    <w:rsid w:val="538A0A32"/>
    <w:rsid w:val="538F3436"/>
    <w:rsid w:val="540EB193"/>
    <w:rsid w:val="541E34CD"/>
    <w:rsid w:val="5439ACE1"/>
    <w:rsid w:val="546D64FE"/>
    <w:rsid w:val="5470B59B"/>
    <w:rsid w:val="54A042A0"/>
    <w:rsid w:val="54B9665E"/>
    <w:rsid w:val="551A15BE"/>
    <w:rsid w:val="5527E0B6"/>
    <w:rsid w:val="5574007F"/>
    <w:rsid w:val="55780296"/>
    <w:rsid w:val="5587C8F9"/>
    <w:rsid w:val="55A6993F"/>
    <w:rsid w:val="56169754"/>
    <w:rsid w:val="56203B9B"/>
    <w:rsid w:val="56317995"/>
    <w:rsid w:val="5632C50F"/>
    <w:rsid w:val="5642478B"/>
    <w:rsid w:val="566207DC"/>
    <w:rsid w:val="5669A851"/>
    <w:rsid w:val="5684D361"/>
    <w:rsid w:val="56B6B52E"/>
    <w:rsid w:val="56DC2669"/>
    <w:rsid w:val="5706AAAE"/>
    <w:rsid w:val="57520919"/>
    <w:rsid w:val="575ECB0A"/>
    <w:rsid w:val="57875145"/>
    <w:rsid w:val="578EB5ED"/>
    <w:rsid w:val="57C961D2"/>
    <w:rsid w:val="5819845F"/>
    <w:rsid w:val="584452F8"/>
    <w:rsid w:val="585636BF"/>
    <w:rsid w:val="5874AE53"/>
    <w:rsid w:val="5878092E"/>
    <w:rsid w:val="58B807A2"/>
    <w:rsid w:val="58DEF895"/>
    <w:rsid w:val="58E00CED"/>
    <w:rsid w:val="58E06B42"/>
    <w:rsid w:val="5904937B"/>
    <w:rsid w:val="5935AA9D"/>
    <w:rsid w:val="593C97A7"/>
    <w:rsid w:val="596A9243"/>
    <w:rsid w:val="5998BBFB"/>
    <w:rsid w:val="59A96214"/>
    <w:rsid w:val="59AC3C42"/>
    <w:rsid w:val="59E4840F"/>
    <w:rsid w:val="5A146D05"/>
    <w:rsid w:val="5A2EC24D"/>
    <w:rsid w:val="5A3CCA5D"/>
    <w:rsid w:val="5A665291"/>
    <w:rsid w:val="5A82BB36"/>
    <w:rsid w:val="5A95B3CF"/>
    <w:rsid w:val="5AAB9670"/>
    <w:rsid w:val="5ABD8B6A"/>
    <w:rsid w:val="5B35D60D"/>
    <w:rsid w:val="5B3ED761"/>
    <w:rsid w:val="5BB37CDB"/>
    <w:rsid w:val="5BBD664B"/>
    <w:rsid w:val="5BCEC81D"/>
    <w:rsid w:val="5C08714E"/>
    <w:rsid w:val="5C0E753C"/>
    <w:rsid w:val="5C2E51E9"/>
    <w:rsid w:val="5C7D6A7B"/>
    <w:rsid w:val="5C93E9D1"/>
    <w:rsid w:val="5C9BE4EC"/>
    <w:rsid w:val="5CBF8F7F"/>
    <w:rsid w:val="5D0F4018"/>
    <w:rsid w:val="5D0FDE67"/>
    <w:rsid w:val="5D1873C0"/>
    <w:rsid w:val="5D25B73C"/>
    <w:rsid w:val="5D712E7E"/>
    <w:rsid w:val="5DA631F6"/>
    <w:rsid w:val="5DE665A4"/>
    <w:rsid w:val="5DF16E68"/>
    <w:rsid w:val="5DFFCA48"/>
    <w:rsid w:val="5E01907A"/>
    <w:rsid w:val="5E339339"/>
    <w:rsid w:val="5E7B5311"/>
    <w:rsid w:val="5EBB8202"/>
    <w:rsid w:val="5EC19596"/>
    <w:rsid w:val="5ED1EDB4"/>
    <w:rsid w:val="5EE2FB54"/>
    <w:rsid w:val="5EE4C6CD"/>
    <w:rsid w:val="5F4AF0DB"/>
    <w:rsid w:val="5F4F54A9"/>
    <w:rsid w:val="5F571699"/>
    <w:rsid w:val="5F5F8CCD"/>
    <w:rsid w:val="6024FB74"/>
    <w:rsid w:val="60480FCA"/>
    <w:rsid w:val="6065A951"/>
    <w:rsid w:val="608E237E"/>
    <w:rsid w:val="60CBAA21"/>
    <w:rsid w:val="60E58081"/>
    <w:rsid w:val="60EF972F"/>
    <w:rsid w:val="60FE9312"/>
    <w:rsid w:val="6130F264"/>
    <w:rsid w:val="6155CC7E"/>
    <w:rsid w:val="615C79E1"/>
    <w:rsid w:val="618B1CE3"/>
    <w:rsid w:val="61C7580C"/>
    <w:rsid w:val="6233E456"/>
    <w:rsid w:val="62369B81"/>
    <w:rsid w:val="624D1DC8"/>
    <w:rsid w:val="62821944"/>
    <w:rsid w:val="6285E789"/>
    <w:rsid w:val="62F1CB42"/>
    <w:rsid w:val="636795BD"/>
    <w:rsid w:val="63A09746"/>
    <w:rsid w:val="63BB3AA9"/>
    <w:rsid w:val="63BBBDD6"/>
    <w:rsid w:val="64102D49"/>
    <w:rsid w:val="64219BB1"/>
    <w:rsid w:val="6474026C"/>
    <w:rsid w:val="647A4289"/>
    <w:rsid w:val="647A6DB9"/>
    <w:rsid w:val="6481F821"/>
    <w:rsid w:val="64D7E830"/>
    <w:rsid w:val="651756E2"/>
    <w:rsid w:val="652E7FFA"/>
    <w:rsid w:val="65340A9F"/>
    <w:rsid w:val="6535AC3D"/>
    <w:rsid w:val="65DAE629"/>
    <w:rsid w:val="65F74BC0"/>
    <w:rsid w:val="6623770C"/>
    <w:rsid w:val="6623C1C2"/>
    <w:rsid w:val="66E94109"/>
    <w:rsid w:val="66F9DB9D"/>
    <w:rsid w:val="66FCC38E"/>
    <w:rsid w:val="673CDF05"/>
    <w:rsid w:val="6740206C"/>
    <w:rsid w:val="67C2FC19"/>
    <w:rsid w:val="67CBF5E6"/>
    <w:rsid w:val="67CD2BDC"/>
    <w:rsid w:val="67D0A5CA"/>
    <w:rsid w:val="67DA6A24"/>
    <w:rsid w:val="67DAD824"/>
    <w:rsid w:val="67E383EB"/>
    <w:rsid w:val="67E5A79C"/>
    <w:rsid w:val="6804AA9E"/>
    <w:rsid w:val="687E20FE"/>
    <w:rsid w:val="68A95D23"/>
    <w:rsid w:val="68D1ECDA"/>
    <w:rsid w:val="68DC7584"/>
    <w:rsid w:val="692F1A99"/>
    <w:rsid w:val="6957F363"/>
    <w:rsid w:val="695C0A5C"/>
    <w:rsid w:val="6A24CBA2"/>
    <w:rsid w:val="6A3112EE"/>
    <w:rsid w:val="6A3AF93F"/>
    <w:rsid w:val="6A59971B"/>
    <w:rsid w:val="6A8B0E66"/>
    <w:rsid w:val="6AD67400"/>
    <w:rsid w:val="6B0B5A0D"/>
    <w:rsid w:val="6B100583"/>
    <w:rsid w:val="6B45DC81"/>
    <w:rsid w:val="6B6DA463"/>
    <w:rsid w:val="6B7CB36B"/>
    <w:rsid w:val="6B9FBF63"/>
    <w:rsid w:val="6BB2C40A"/>
    <w:rsid w:val="6BB9EB02"/>
    <w:rsid w:val="6BED9985"/>
    <w:rsid w:val="6C1C33C2"/>
    <w:rsid w:val="6C20B374"/>
    <w:rsid w:val="6C3B4DAA"/>
    <w:rsid w:val="6C48AFAC"/>
    <w:rsid w:val="6C8AC3D4"/>
    <w:rsid w:val="6C98F6F7"/>
    <w:rsid w:val="6CCF3FC6"/>
    <w:rsid w:val="6CD62CE4"/>
    <w:rsid w:val="6CE38030"/>
    <w:rsid w:val="6D310562"/>
    <w:rsid w:val="6D330C0B"/>
    <w:rsid w:val="6D55FE61"/>
    <w:rsid w:val="6D59100A"/>
    <w:rsid w:val="6D9D5478"/>
    <w:rsid w:val="6DAD8B58"/>
    <w:rsid w:val="6E0AEF39"/>
    <w:rsid w:val="6E26FF88"/>
    <w:rsid w:val="6E288901"/>
    <w:rsid w:val="6E7A2610"/>
    <w:rsid w:val="6E8D3F8F"/>
    <w:rsid w:val="6EAFCADC"/>
    <w:rsid w:val="6EC58F4E"/>
    <w:rsid w:val="6EF60BC1"/>
    <w:rsid w:val="6F265B4D"/>
    <w:rsid w:val="6F7C0CC4"/>
    <w:rsid w:val="6FD4705F"/>
    <w:rsid w:val="6FFBEB06"/>
    <w:rsid w:val="70831891"/>
    <w:rsid w:val="70AC9330"/>
    <w:rsid w:val="70B648CD"/>
    <w:rsid w:val="70F38D1F"/>
    <w:rsid w:val="70F5EA87"/>
    <w:rsid w:val="70FA36AF"/>
    <w:rsid w:val="71132C92"/>
    <w:rsid w:val="71187551"/>
    <w:rsid w:val="71679A97"/>
    <w:rsid w:val="71A40405"/>
    <w:rsid w:val="720CAC5E"/>
    <w:rsid w:val="72F27F4A"/>
    <w:rsid w:val="72F2DAD3"/>
    <w:rsid w:val="73221D57"/>
    <w:rsid w:val="73591D18"/>
    <w:rsid w:val="737A8B96"/>
    <w:rsid w:val="73910D56"/>
    <w:rsid w:val="73EED33B"/>
    <w:rsid w:val="742946F9"/>
    <w:rsid w:val="7440E95C"/>
    <w:rsid w:val="7449F90A"/>
    <w:rsid w:val="7460C634"/>
    <w:rsid w:val="746C5092"/>
    <w:rsid w:val="747EE73C"/>
    <w:rsid w:val="74BB92D5"/>
    <w:rsid w:val="74C59369"/>
    <w:rsid w:val="74CD51B3"/>
    <w:rsid w:val="74F67C03"/>
    <w:rsid w:val="74F8F0F4"/>
    <w:rsid w:val="74FC2F69"/>
    <w:rsid w:val="75434A46"/>
    <w:rsid w:val="7551D26D"/>
    <w:rsid w:val="75616963"/>
    <w:rsid w:val="75852744"/>
    <w:rsid w:val="75855836"/>
    <w:rsid w:val="75AE1B07"/>
    <w:rsid w:val="75C66C57"/>
    <w:rsid w:val="7603ED20"/>
    <w:rsid w:val="762EC718"/>
    <w:rsid w:val="7699EC62"/>
    <w:rsid w:val="76ACE6D9"/>
    <w:rsid w:val="76BDA840"/>
    <w:rsid w:val="76D64989"/>
    <w:rsid w:val="76DE0E94"/>
    <w:rsid w:val="76E5CE09"/>
    <w:rsid w:val="76E8CB39"/>
    <w:rsid w:val="76FC0AD4"/>
    <w:rsid w:val="77072274"/>
    <w:rsid w:val="7713BB5B"/>
    <w:rsid w:val="773C4837"/>
    <w:rsid w:val="77455DD6"/>
    <w:rsid w:val="77CD5952"/>
    <w:rsid w:val="77D48AB8"/>
    <w:rsid w:val="77E856B3"/>
    <w:rsid w:val="7812B1F4"/>
    <w:rsid w:val="783D48B9"/>
    <w:rsid w:val="78574730"/>
    <w:rsid w:val="78BB21E6"/>
    <w:rsid w:val="794050FB"/>
    <w:rsid w:val="79475AEF"/>
    <w:rsid w:val="79824539"/>
    <w:rsid w:val="7986D8CB"/>
    <w:rsid w:val="7989539F"/>
    <w:rsid w:val="79A292E2"/>
    <w:rsid w:val="79B112FD"/>
    <w:rsid w:val="7A17B74D"/>
    <w:rsid w:val="7A25FDFD"/>
    <w:rsid w:val="7A2EC034"/>
    <w:rsid w:val="7A461B52"/>
    <w:rsid w:val="7A737B77"/>
    <w:rsid w:val="7A858675"/>
    <w:rsid w:val="7ABF5247"/>
    <w:rsid w:val="7AC38CF8"/>
    <w:rsid w:val="7AE147CE"/>
    <w:rsid w:val="7AE22D53"/>
    <w:rsid w:val="7B0699E2"/>
    <w:rsid w:val="7B538284"/>
    <w:rsid w:val="7B703761"/>
    <w:rsid w:val="7B77F8E6"/>
    <w:rsid w:val="7B86E0E7"/>
    <w:rsid w:val="7B89EB13"/>
    <w:rsid w:val="7BA430DD"/>
    <w:rsid w:val="7BC7B667"/>
    <w:rsid w:val="7BDB021E"/>
    <w:rsid w:val="7BFD9D8E"/>
    <w:rsid w:val="7C0D47C6"/>
    <w:rsid w:val="7C26551D"/>
    <w:rsid w:val="7C3CD2C4"/>
    <w:rsid w:val="7C6E8131"/>
    <w:rsid w:val="7C7F027E"/>
    <w:rsid w:val="7CA7B7A5"/>
    <w:rsid w:val="7CC6A4BA"/>
    <w:rsid w:val="7D108D5E"/>
    <w:rsid w:val="7D11DD95"/>
    <w:rsid w:val="7D246816"/>
    <w:rsid w:val="7D6F3FD7"/>
    <w:rsid w:val="7D705ADD"/>
    <w:rsid w:val="7DB5C0B8"/>
    <w:rsid w:val="7DEABF2E"/>
    <w:rsid w:val="7E17BCB0"/>
    <w:rsid w:val="7E7A10B0"/>
    <w:rsid w:val="7EA3824E"/>
    <w:rsid w:val="7EDF12C2"/>
    <w:rsid w:val="7EED593C"/>
    <w:rsid w:val="7F49AAED"/>
    <w:rsid w:val="7FAE2965"/>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5BD4B6E8"/>
  <w15:docId w15:val="{C6F61F2F-0C88-4A68-8A53-B1B337D5F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iPriority="0"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30" w:qFormat="1"/>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717C"/>
    <w:pPr>
      <w:tabs>
        <w:tab w:val="left" w:pos="851"/>
      </w:tabs>
      <w:spacing w:before="240" w:after="120" w:line="360" w:lineRule="exact"/>
      <w:jc w:val="both"/>
    </w:pPr>
    <w:rPr>
      <w:rFonts w:asciiTheme="minorHAnsi" w:hAnsiTheme="minorHAnsi"/>
      <w:color w:val="002060"/>
      <w:sz w:val="24"/>
      <w:szCs w:val="24"/>
      <w:lang w:eastAsia="en-US"/>
    </w:rPr>
  </w:style>
  <w:style w:type="paragraph" w:styleId="Ttulo1">
    <w:name w:val="heading 1"/>
    <w:basedOn w:val="Normal"/>
    <w:next w:val="Normal"/>
    <w:link w:val="Ttulo1Char"/>
    <w:uiPriority w:val="99"/>
    <w:qFormat/>
    <w:rsid w:val="00CF1450"/>
    <w:pPr>
      <w:keepNext/>
      <w:pageBreakBefore/>
      <w:numPr>
        <w:numId w:val="1"/>
      </w:numPr>
      <w:tabs>
        <w:tab w:val="clear" w:pos="851"/>
      </w:tabs>
      <w:spacing w:after="480" w:line="240" w:lineRule="auto"/>
      <w:ind w:left="2559"/>
      <w:outlineLvl w:val="0"/>
    </w:pPr>
    <w:rPr>
      <w:rFonts w:ascii="Calibri" w:hAnsi="Calibri" w:cs="Arial"/>
      <w:b/>
      <w:bCs/>
      <w:kern w:val="32"/>
      <w:sz w:val="26"/>
    </w:rPr>
  </w:style>
  <w:style w:type="paragraph" w:styleId="Ttulo2">
    <w:name w:val="heading 2"/>
    <w:basedOn w:val="Normal"/>
    <w:next w:val="Normal"/>
    <w:link w:val="Ttulo2Char"/>
    <w:uiPriority w:val="99"/>
    <w:qFormat/>
    <w:rsid w:val="009227B8"/>
    <w:pPr>
      <w:keepNext/>
      <w:numPr>
        <w:ilvl w:val="1"/>
        <w:numId w:val="13"/>
      </w:numPr>
      <w:tabs>
        <w:tab w:val="clear" w:pos="851"/>
      </w:tabs>
      <w:spacing w:before="480" w:after="360" w:line="240" w:lineRule="auto"/>
      <w:outlineLvl w:val="1"/>
    </w:pPr>
    <w:rPr>
      <w:rFonts w:ascii="Calibri" w:hAnsi="Calibri" w:cs="Arial"/>
      <w:b/>
      <w:bCs/>
      <w:iCs/>
    </w:rPr>
  </w:style>
  <w:style w:type="paragraph" w:styleId="Ttulo3">
    <w:name w:val="heading 3"/>
    <w:basedOn w:val="Normal"/>
    <w:next w:val="Normal"/>
    <w:link w:val="Ttulo3Char"/>
    <w:uiPriority w:val="99"/>
    <w:qFormat/>
    <w:rsid w:val="009227B8"/>
    <w:pPr>
      <w:keepNext/>
      <w:numPr>
        <w:ilvl w:val="2"/>
        <w:numId w:val="13"/>
      </w:numPr>
      <w:tabs>
        <w:tab w:val="clear" w:pos="851"/>
      </w:tabs>
      <w:spacing w:before="480" w:after="360" w:line="240" w:lineRule="auto"/>
      <w:outlineLvl w:val="2"/>
    </w:pPr>
    <w:rPr>
      <w:rFonts w:cs="Arial"/>
      <w:b/>
      <w:bCs/>
      <w:szCs w:val="26"/>
    </w:rPr>
  </w:style>
  <w:style w:type="paragraph" w:styleId="Ttulo4">
    <w:name w:val="heading 4"/>
    <w:basedOn w:val="Normal"/>
    <w:next w:val="Normal"/>
    <w:link w:val="Ttulo4Char"/>
    <w:uiPriority w:val="99"/>
    <w:qFormat/>
    <w:rsid w:val="003513EB"/>
    <w:pPr>
      <w:keepNext/>
      <w:numPr>
        <w:ilvl w:val="3"/>
        <w:numId w:val="13"/>
      </w:numPr>
      <w:tabs>
        <w:tab w:val="clear" w:pos="851"/>
      </w:tabs>
      <w:spacing w:before="480" w:after="360" w:line="240" w:lineRule="auto"/>
      <w:outlineLvl w:val="3"/>
    </w:pPr>
    <w:rPr>
      <w:bCs/>
      <w:szCs w:val="28"/>
    </w:rPr>
  </w:style>
  <w:style w:type="paragraph" w:styleId="Ttulo5">
    <w:name w:val="heading 5"/>
    <w:basedOn w:val="Normal"/>
    <w:next w:val="Normal"/>
    <w:link w:val="Ttulo5Char"/>
    <w:uiPriority w:val="99"/>
    <w:qFormat/>
    <w:rsid w:val="003513EB"/>
    <w:pPr>
      <w:keepNext/>
      <w:numPr>
        <w:ilvl w:val="4"/>
        <w:numId w:val="13"/>
      </w:numPr>
      <w:tabs>
        <w:tab w:val="clear" w:pos="851"/>
      </w:tabs>
      <w:spacing w:before="480" w:after="360" w:line="240" w:lineRule="auto"/>
      <w:outlineLvl w:val="4"/>
    </w:pPr>
    <w:rPr>
      <w:bCs/>
      <w:iCs/>
      <w:szCs w:val="26"/>
    </w:rPr>
  </w:style>
  <w:style w:type="paragraph" w:styleId="Ttulo6">
    <w:name w:val="heading 6"/>
    <w:basedOn w:val="Normal"/>
    <w:next w:val="Normal"/>
    <w:link w:val="Ttulo6Char"/>
    <w:uiPriority w:val="99"/>
    <w:qFormat/>
    <w:rsid w:val="003513EB"/>
    <w:pPr>
      <w:keepNext/>
      <w:numPr>
        <w:ilvl w:val="5"/>
        <w:numId w:val="13"/>
      </w:numPr>
      <w:tabs>
        <w:tab w:val="clear" w:pos="851"/>
      </w:tabs>
      <w:spacing w:before="480" w:after="360" w:line="240" w:lineRule="auto"/>
      <w:outlineLvl w:val="5"/>
    </w:pPr>
    <w:rPr>
      <w:bCs/>
      <w:szCs w:val="22"/>
    </w:rPr>
  </w:style>
  <w:style w:type="paragraph" w:styleId="Ttulo7">
    <w:name w:val="heading 7"/>
    <w:basedOn w:val="Normal"/>
    <w:next w:val="Normal"/>
    <w:link w:val="Ttulo7Char"/>
    <w:uiPriority w:val="99"/>
    <w:qFormat/>
    <w:rsid w:val="003513EB"/>
    <w:pPr>
      <w:keepNext/>
      <w:numPr>
        <w:ilvl w:val="6"/>
        <w:numId w:val="13"/>
      </w:numPr>
      <w:tabs>
        <w:tab w:val="clear" w:pos="851"/>
      </w:tabs>
      <w:spacing w:before="480" w:after="360" w:line="240" w:lineRule="auto"/>
      <w:outlineLvl w:val="6"/>
    </w:pPr>
  </w:style>
  <w:style w:type="paragraph" w:styleId="Ttulo8">
    <w:name w:val="heading 8"/>
    <w:basedOn w:val="Normal"/>
    <w:next w:val="Normal"/>
    <w:link w:val="Ttulo8Char"/>
    <w:uiPriority w:val="99"/>
    <w:qFormat/>
    <w:rsid w:val="003513EB"/>
    <w:pPr>
      <w:keepNext/>
      <w:numPr>
        <w:ilvl w:val="7"/>
        <w:numId w:val="13"/>
      </w:numPr>
      <w:tabs>
        <w:tab w:val="clear" w:pos="851"/>
      </w:tabs>
      <w:spacing w:before="480" w:after="360" w:line="240" w:lineRule="auto"/>
      <w:outlineLvl w:val="7"/>
    </w:pPr>
    <w:rPr>
      <w:iCs/>
    </w:rPr>
  </w:style>
  <w:style w:type="paragraph" w:styleId="Ttulo9">
    <w:name w:val="heading 9"/>
    <w:basedOn w:val="Normal"/>
    <w:next w:val="Normal"/>
    <w:link w:val="Ttulo9Char"/>
    <w:uiPriority w:val="99"/>
    <w:qFormat/>
    <w:rsid w:val="003513EB"/>
    <w:pPr>
      <w:keepNext/>
      <w:numPr>
        <w:ilvl w:val="8"/>
        <w:numId w:val="13"/>
      </w:numPr>
      <w:tabs>
        <w:tab w:val="clear" w:pos="851"/>
      </w:tabs>
      <w:spacing w:before="480" w:after="360" w:line="240" w:lineRule="auto"/>
      <w:outlineLvl w:val="8"/>
    </w:pPr>
    <w:rPr>
      <w:rFonts w:cs="Arial"/>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9"/>
    <w:locked/>
    <w:rsid w:val="00CF1450"/>
    <w:rPr>
      <w:rFonts w:ascii="Calibri" w:hAnsi="Calibri" w:cs="Arial"/>
      <w:b/>
      <w:bCs/>
      <w:color w:val="002060"/>
      <w:kern w:val="32"/>
      <w:sz w:val="26"/>
      <w:szCs w:val="24"/>
      <w:lang w:eastAsia="en-US"/>
    </w:rPr>
  </w:style>
  <w:style w:type="character" w:customStyle="1" w:styleId="Ttulo2Char">
    <w:name w:val="Título 2 Char"/>
    <w:basedOn w:val="Fontepargpadro"/>
    <w:link w:val="Ttulo2"/>
    <w:uiPriority w:val="99"/>
    <w:locked/>
    <w:rsid w:val="009227B8"/>
    <w:rPr>
      <w:rFonts w:ascii="Calibri" w:hAnsi="Calibri" w:cs="Arial"/>
      <w:b/>
      <w:bCs/>
      <w:iCs/>
      <w:color w:val="002060"/>
      <w:sz w:val="24"/>
      <w:szCs w:val="24"/>
      <w:lang w:eastAsia="en-US"/>
    </w:rPr>
  </w:style>
  <w:style w:type="character" w:customStyle="1" w:styleId="Ttulo3Char">
    <w:name w:val="Título 3 Char"/>
    <w:basedOn w:val="Fontepargpadro"/>
    <w:link w:val="Ttulo3"/>
    <w:uiPriority w:val="99"/>
    <w:locked/>
    <w:rsid w:val="009227B8"/>
    <w:rPr>
      <w:rFonts w:asciiTheme="minorHAnsi" w:hAnsiTheme="minorHAnsi" w:cs="Arial"/>
      <w:b/>
      <w:bCs/>
      <w:color w:val="002060"/>
      <w:sz w:val="24"/>
      <w:szCs w:val="26"/>
      <w:lang w:eastAsia="en-US"/>
    </w:rPr>
  </w:style>
  <w:style w:type="character" w:customStyle="1" w:styleId="Ttulo4Char">
    <w:name w:val="Título 4 Char"/>
    <w:basedOn w:val="Fontepargpadro"/>
    <w:link w:val="Ttulo4"/>
    <w:uiPriority w:val="99"/>
    <w:locked/>
    <w:rsid w:val="000B3FA6"/>
    <w:rPr>
      <w:rFonts w:asciiTheme="minorHAnsi" w:hAnsiTheme="minorHAnsi"/>
      <w:bCs/>
      <w:color w:val="002060"/>
      <w:sz w:val="24"/>
      <w:szCs w:val="28"/>
      <w:lang w:eastAsia="en-US"/>
    </w:rPr>
  </w:style>
  <w:style w:type="character" w:customStyle="1" w:styleId="Ttulo5Char">
    <w:name w:val="Título 5 Char"/>
    <w:basedOn w:val="Fontepargpadro"/>
    <w:link w:val="Ttulo5"/>
    <w:uiPriority w:val="99"/>
    <w:locked/>
    <w:rsid w:val="000B3FA6"/>
    <w:rPr>
      <w:rFonts w:asciiTheme="minorHAnsi" w:hAnsiTheme="minorHAnsi"/>
      <w:bCs/>
      <w:iCs/>
      <w:color w:val="002060"/>
      <w:sz w:val="24"/>
      <w:szCs w:val="26"/>
      <w:lang w:eastAsia="en-US"/>
    </w:rPr>
  </w:style>
  <w:style w:type="character" w:customStyle="1" w:styleId="Ttulo6Char">
    <w:name w:val="Título 6 Char"/>
    <w:basedOn w:val="Fontepargpadro"/>
    <w:link w:val="Ttulo6"/>
    <w:uiPriority w:val="99"/>
    <w:locked/>
    <w:rsid w:val="000B3FA6"/>
    <w:rPr>
      <w:rFonts w:asciiTheme="minorHAnsi" w:hAnsiTheme="minorHAnsi"/>
      <w:bCs/>
      <w:color w:val="002060"/>
      <w:sz w:val="24"/>
      <w:szCs w:val="22"/>
      <w:lang w:eastAsia="en-US"/>
    </w:rPr>
  </w:style>
  <w:style w:type="character" w:customStyle="1" w:styleId="Ttulo7Char">
    <w:name w:val="Título 7 Char"/>
    <w:basedOn w:val="Fontepargpadro"/>
    <w:link w:val="Ttulo7"/>
    <w:uiPriority w:val="99"/>
    <w:locked/>
    <w:rsid w:val="000B3FA6"/>
    <w:rPr>
      <w:rFonts w:asciiTheme="minorHAnsi" w:hAnsiTheme="minorHAnsi"/>
      <w:color w:val="002060"/>
      <w:sz w:val="24"/>
      <w:szCs w:val="24"/>
      <w:lang w:eastAsia="en-US"/>
    </w:rPr>
  </w:style>
  <w:style w:type="character" w:customStyle="1" w:styleId="Ttulo8Char">
    <w:name w:val="Título 8 Char"/>
    <w:basedOn w:val="Fontepargpadro"/>
    <w:link w:val="Ttulo8"/>
    <w:uiPriority w:val="99"/>
    <w:locked/>
    <w:rsid w:val="000B3FA6"/>
    <w:rPr>
      <w:rFonts w:asciiTheme="minorHAnsi" w:hAnsiTheme="minorHAnsi"/>
      <w:iCs/>
      <w:color w:val="002060"/>
      <w:sz w:val="24"/>
      <w:szCs w:val="24"/>
      <w:lang w:eastAsia="en-US"/>
    </w:rPr>
  </w:style>
  <w:style w:type="character" w:customStyle="1" w:styleId="Ttulo9Char">
    <w:name w:val="Título 9 Char"/>
    <w:basedOn w:val="Fontepargpadro"/>
    <w:link w:val="Ttulo9"/>
    <w:uiPriority w:val="99"/>
    <w:locked/>
    <w:rsid w:val="000B3FA6"/>
    <w:rPr>
      <w:rFonts w:asciiTheme="minorHAnsi" w:hAnsiTheme="minorHAnsi" w:cs="Arial"/>
      <w:color w:val="002060"/>
      <w:sz w:val="24"/>
      <w:szCs w:val="22"/>
      <w:lang w:eastAsia="en-US"/>
    </w:rPr>
  </w:style>
  <w:style w:type="paragraph" w:styleId="Sumrio2">
    <w:name w:val="toc 2"/>
    <w:basedOn w:val="Normal"/>
    <w:next w:val="Normal"/>
    <w:link w:val="Sumrio2Char"/>
    <w:uiPriority w:val="39"/>
    <w:rsid w:val="00653D72"/>
    <w:pPr>
      <w:tabs>
        <w:tab w:val="clear" w:pos="851"/>
        <w:tab w:val="left" w:pos="601"/>
        <w:tab w:val="right" w:leader="dot" w:pos="9072"/>
      </w:tabs>
      <w:spacing w:line="240" w:lineRule="auto"/>
      <w:ind w:left="601" w:right="284" w:hanging="601"/>
      <w:jc w:val="left"/>
    </w:pPr>
  </w:style>
  <w:style w:type="paragraph" w:styleId="Sumrio1">
    <w:name w:val="toc 1"/>
    <w:basedOn w:val="Normal"/>
    <w:next w:val="Normal"/>
    <w:link w:val="Sumrio1Char"/>
    <w:autoRedefine/>
    <w:uiPriority w:val="39"/>
    <w:rsid w:val="005B225B"/>
    <w:pPr>
      <w:tabs>
        <w:tab w:val="clear" w:pos="851"/>
        <w:tab w:val="right" w:leader="dot" w:pos="9072"/>
      </w:tabs>
      <w:spacing w:before="0" w:line="240" w:lineRule="auto"/>
      <w:ind w:left="397" w:right="284" w:hanging="397"/>
      <w:jc w:val="left"/>
    </w:pPr>
    <w:rPr>
      <w:noProof/>
    </w:rPr>
  </w:style>
  <w:style w:type="paragraph" w:styleId="Sumrio3">
    <w:name w:val="toc 3"/>
    <w:basedOn w:val="Normal"/>
    <w:next w:val="Normal"/>
    <w:autoRedefine/>
    <w:uiPriority w:val="39"/>
    <w:rsid w:val="005B225B"/>
    <w:pPr>
      <w:tabs>
        <w:tab w:val="clear" w:pos="851"/>
        <w:tab w:val="left" w:pos="805"/>
        <w:tab w:val="right" w:leader="dot" w:pos="9072"/>
      </w:tabs>
      <w:spacing w:before="0" w:after="0" w:line="240" w:lineRule="auto"/>
      <w:ind w:left="805" w:right="284" w:hanging="805"/>
      <w:jc w:val="left"/>
    </w:pPr>
  </w:style>
  <w:style w:type="paragraph" w:styleId="Sumrio4">
    <w:name w:val="toc 4"/>
    <w:basedOn w:val="Normal"/>
    <w:next w:val="Normal"/>
    <w:autoRedefine/>
    <w:uiPriority w:val="99"/>
    <w:rsid w:val="008B5601"/>
    <w:pPr>
      <w:tabs>
        <w:tab w:val="clear" w:pos="851"/>
        <w:tab w:val="left" w:pos="1015"/>
        <w:tab w:val="right" w:leader="dot" w:pos="9072"/>
      </w:tabs>
      <w:spacing w:line="240" w:lineRule="auto"/>
      <w:ind w:left="1015" w:right="284" w:hanging="1015"/>
      <w:jc w:val="left"/>
    </w:pPr>
  </w:style>
  <w:style w:type="character" w:styleId="AcrnimoHTML">
    <w:name w:val="HTML Acronym"/>
    <w:basedOn w:val="Fontepargpadro"/>
    <w:uiPriority w:val="99"/>
    <w:semiHidden/>
    <w:rsid w:val="000E52BA"/>
    <w:rPr>
      <w:rFonts w:cs="Times New Roman"/>
    </w:rPr>
  </w:style>
  <w:style w:type="paragraph" w:styleId="Sumrio5">
    <w:name w:val="toc 5"/>
    <w:basedOn w:val="Normal"/>
    <w:next w:val="Normal"/>
    <w:autoRedefine/>
    <w:uiPriority w:val="99"/>
    <w:rsid w:val="008B5601"/>
    <w:pPr>
      <w:tabs>
        <w:tab w:val="clear" w:pos="851"/>
        <w:tab w:val="left" w:pos="1219"/>
        <w:tab w:val="right" w:leader="dot" w:pos="9072"/>
      </w:tabs>
      <w:spacing w:line="240" w:lineRule="auto"/>
      <w:ind w:left="1219" w:right="284" w:hanging="1219"/>
      <w:jc w:val="left"/>
    </w:pPr>
  </w:style>
  <w:style w:type="paragraph" w:styleId="Sumrio6">
    <w:name w:val="toc 6"/>
    <w:basedOn w:val="Normal"/>
    <w:next w:val="Normal"/>
    <w:autoRedefine/>
    <w:uiPriority w:val="99"/>
    <w:rsid w:val="008B5601"/>
    <w:pPr>
      <w:tabs>
        <w:tab w:val="clear" w:pos="851"/>
        <w:tab w:val="left" w:pos="1423"/>
        <w:tab w:val="right" w:leader="dot" w:pos="9072"/>
      </w:tabs>
      <w:spacing w:line="240" w:lineRule="auto"/>
      <w:ind w:left="1423" w:right="284" w:hanging="1423"/>
      <w:jc w:val="left"/>
    </w:pPr>
  </w:style>
  <w:style w:type="paragraph" w:styleId="Sumrio7">
    <w:name w:val="toc 7"/>
    <w:basedOn w:val="Normal"/>
    <w:next w:val="Normal"/>
    <w:autoRedefine/>
    <w:uiPriority w:val="99"/>
    <w:rsid w:val="008B5601"/>
    <w:pPr>
      <w:tabs>
        <w:tab w:val="clear" w:pos="851"/>
        <w:tab w:val="left" w:pos="1627"/>
        <w:tab w:val="right" w:leader="dot" w:pos="9072"/>
      </w:tabs>
      <w:spacing w:line="240" w:lineRule="auto"/>
      <w:ind w:left="1627" w:right="284" w:hanging="1627"/>
      <w:jc w:val="left"/>
    </w:pPr>
  </w:style>
  <w:style w:type="paragraph" w:styleId="Sumrio8">
    <w:name w:val="toc 8"/>
    <w:basedOn w:val="Normal"/>
    <w:next w:val="Normal"/>
    <w:autoRedefine/>
    <w:uiPriority w:val="99"/>
    <w:rsid w:val="008B5601"/>
    <w:pPr>
      <w:tabs>
        <w:tab w:val="clear" w:pos="851"/>
        <w:tab w:val="left" w:pos="1837"/>
        <w:tab w:val="right" w:leader="dot" w:pos="9072"/>
      </w:tabs>
      <w:spacing w:line="240" w:lineRule="auto"/>
      <w:ind w:left="1837" w:right="284" w:hanging="1837"/>
      <w:jc w:val="left"/>
    </w:pPr>
  </w:style>
  <w:style w:type="paragraph" w:styleId="Sumrio9">
    <w:name w:val="toc 9"/>
    <w:basedOn w:val="Normal"/>
    <w:next w:val="Normal"/>
    <w:autoRedefine/>
    <w:uiPriority w:val="39"/>
    <w:rsid w:val="00501430"/>
    <w:pPr>
      <w:tabs>
        <w:tab w:val="clear" w:pos="851"/>
        <w:tab w:val="left" w:pos="2041"/>
        <w:tab w:val="right" w:leader="dot" w:pos="9072"/>
      </w:tabs>
      <w:spacing w:line="240" w:lineRule="auto"/>
      <w:ind w:left="1701" w:right="284" w:hanging="1701"/>
      <w:jc w:val="left"/>
    </w:pPr>
    <w:rPr>
      <w:b/>
      <w:caps/>
    </w:rPr>
  </w:style>
  <w:style w:type="paragraph" w:styleId="Assinatura">
    <w:name w:val="Signature"/>
    <w:basedOn w:val="Normal"/>
    <w:link w:val="AssinaturaChar"/>
    <w:uiPriority w:val="99"/>
    <w:semiHidden/>
    <w:rsid w:val="000E52BA"/>
    <w:pPr>
      <w:ind w:left="4252"/>
    </w:pPr>
  </w:style>
  <w:style w:type="character" w:customStyle="1" w:styleId="AssinaturaChar">
    <w:name w:val="Assinatura Char"/>
    <w:basedOn w:val="Fontepargpadro"/>
    <w:link w:val="Assinatura"/>
    <w:uiPriority w:val="99"/>
    <w:semiHidden/>
    <w:locked/>
    <w:rsid w:val="000B3FA6"/>
    <w:rPr>
      <w:rFonts w:ascii="Arial" w:hAnsi="Arial" w:cs="Times New Roman"/>
      <w:sz w:val="24"/>
      <w:szCs w:val="24"/>
      <w:lang w:eastAsia="en-US"/>
    </w:rPr>
  </w:style>
  <w:style w:type="paragraph" w:styleId="AssinaturadeEmail">
    <w:name w:val="E-mail Signature"/>
    <w:basedOn w:val="Normal"/>
    <w:link w:val="AssinaturadeEmailChar"/>
    <w:uiPriority w:val="99"/>
    <w:semiHidden/>
    <w:rsid w:val="000E52BA"/>
  </w:style>
  <w:style w:type="character" w:customStyle="1" w:styleId="AssinaturadeEmailChar">
    <w:name w:val="Assinatura de Email Char"/>
    <w:basedOn w:val="Fontepargpadro"/>
    <w:link w:val="AssinaturadeEmail"/>
    <w:uiPriority w:val="99"/>
    <w:semiHidden/>
    <w:locked/>
    <w:rsid w:val="000B3FA6"/>
    <w:rPr>
      <w:rFonts w:ascii="Arial" w:hAnsi="Arial" w:cs="Times New Roman"/>
      <w:sz w:val="24"/>
      <w:szCs w:val="24"/>
      <w:lang w:eastAsia="en-US"/>
    </w:rPr>
  </w:style>
  <w:style w:type="paragraph" w:styleId="Cabealho">
    <w:name w:val="header"/>
    <w:basedOn w:val="Normal"/>
    <w:link w:val="CabealhoChar"/>
    <w:uiPriority w:val="99"/>
    <w:rsid w:val="000E52BA"/>
    <w:pPr>
      <w:tabs>
        <w:tab w:val="center" w:pos="4252"/>
        <w:tab w:val="right" w:pos="8504"/>
      </w:tabs>
    </w:pPr>
  </w:style>
  <w:style w:type="character" w:customStyle="1" w:styleId="CabealhoChar">
    <w:name w:val="Cabeçalho Char"/>
    <w:basedOn w:val="Fontepargpadro"/>
    <w:link w:val="Cabealho"/>
    <w:uiPriority w:val="99"/>
    <w:locked/>
    <w:rsid w:val="000B3FA6"/>
    <w:rPr>
      <w:rFonts w:ascii="Arial" w:hAnsi="Arial" w:cs="Times New Roman"/>
      <w:sz w:val="24"/>
      <w:szCs w:val="24"/>
      <w:lang w:eastAsia="en-US"/>
    </w:rPr>
  </w:style>
  <w:style w:type="paragraph" w:styleId="Cabealhodamensagem">
    <w:name w:val="Message Header"/>
    <w:basedOn w:val="Normal"/>
    <w:link w:val="CabealhodamensagemChar"/>
    <w:uiPriority w:val="99"/>
    <w:semiHidden/>
    <w:rsid w:val="000E52BA"/>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CabealhodamensagemChar">
    <w:name w:val="Cabeçalho da mensagem Char"/>
    <w:basedOn w:val="Fontepargpadro"/>
    <w:link w:val="Cabealhodamensagem"/>
    <w:uiPriority w:val="99"/>
    <w:semiHidden/>
    <w:locked/>
    <w:rsid w:val="000B3FA6"/>
    <w:rPr>
      <w:rFonts w:ascii="Cambria" w:hAnsi="Cambria" w:cs="Times New Roman"/>
      <w:sz w:val="24"/>
      <w:szCs w:val="24"/>
      <w:shd w:val="pct20" w:color="auto" w:fill="auto"/>
      <w:lang w:eastAsia="en-US"/>
    </w:rPr>
  </w:style>
  <w:style w:type="character" w:styleId="CitaoHTML">
    <w:name w:val="HTML Cite"/>
    <w:basedOn w:val="Fontepargpadro"/>
    <w:uiPriority w:val="99"/>
    <w:semiHidden/>
    <w:rsid w:val="000E52BA"/>
    <w:rPr>
      <w:rFonts w:cs="Times New Roman"/>
      <w:i/>
      <w:iCs/>
    </w:rPr>
  </w:style>
  <w:style w:type="character" w:styleId="CdigoHTML">
    <w:name w:val="HTML Code"/>
    <w:basedOn w:val="Fontepargpadro"/>
    <w:uiPriority w:val="99"/>
    <w:semiHidden/>
    <w:rsid w:val="000E52BA"/>
    <w:rPr>
      <w:rFonts w:ascii="Courier New" w:hAnsi="Courier New" w:cs="Courier New"/>
      <w:sz w:val="20"/>
      <w:szCs w:val="20"/>
    </w:rPr>
  </w:style>
  <w:style w:type="paragraph" w:styleId="Commarcadores">
    <w:name w:val="List Bullet"/>
    <w:basedOn w:val="Normal"/>
    <w:uiPriority w:val="99"/>
    <w:semiHidden/>
    <w:rsid w:val="000E52BA"/>
    <w:pPr>
      <w:tabs>
        <w:tab w:val="num" w:pos="360"/>
      </w:tabs>
      <w:ind w:left="360" w:hanging="360"/>
    </w:pPr>
  </w:style>
  <w:style w:type="paragraph" w:styleId="Commarcadores2">
    <w:name w:val="List Bullet 2"/>
    <w:basedOn w:val="Normal"/>
    <w:uiPriority w:val="99"/>
    <w:semiHidden/>
    <w:rsid w:val="000E52BA"/>
    <w:pPr>
      <w:tabs>
        <w:tab w:val="num" w:pos="643"/>
      </w:tabs>
      <w:ind w:left="643" w:hanging="360"/>
    </w:pPr>
  </w:style>
  <w:style w:type="paragraph" w:styleId="Commarcadores3">
    <w:name w:val="List Bullet 3"/>
    <w:basedOn w:val="Normal"/>
    <w:uiPriority w:val="99"/>
    <w:semiHidden/>
    <w:rsid w:val="000E52BA"/>
    <w:pPr>
      <w:tabs>
        <w:tab w:val="num" w:pos="926"/>
      </w:tabs>
      <w:ind w:left="926" w:hanging="360"/>
    </w:pPr>
  </w:style>
  <w:style w:type="paragraph" w:styleId="Commarcadores4">
    <w:name w:val="List Bullet 4"/>
    <w:basedOn w:val="Normal"/>
    <w:uiPriority w:val="99"/>
    <w:semiHidden/>
    <w:rsid w:val="000E52BA"/>
    <w:pPr>
      <w:tabs>
        <w:tab w:val="num" w:pos="1209"/>
      </w:tabs>
      <w:ind w:left="1209" w:hanging="360"/>
    </w:pPr>
  </w:style>
  <w:style w:type="paragraph" w:styleId="Commarcadores5">
    <w:name w:val="List Bullet 5"/>
    <w:basedOn w:val="Normal"/>
    <w:uiPriority w:val="99"/>
    <w:semiHidden/>
    <w:rsid w:val="000E52BA"/>
    <w:pPr>
      <w:tabs>
        <w:tab w:val="num" w:pos="1492"/>
      </w:tabs>
      <w:ind w:left="1492" w:hanging="360"/>
    </w:pPr>
  </w:style>
  <w:style w:type="paragraph" w:styleId="Corpodetexto">
    <w:name w:val="Body Text"/>
    <w:basedOn w:val="Normal"/>
    <w:link w:val="CorpodetextoChar"/>
    <w:uiPriority w:val="99"/>
    <w:rsid w:val="000E52BA"/>
  </w:style>
  <w:style w:type="character" w:customStyle="1" w:styleId="CorpodetextoChar">
    <w:name w:val="Corpo de texto Char"/>
    <w:basedOn w:val="Fontepargpadro"/>
    <w:link w:val="Corpodetexto"/>
    <w:uiPriority w:val="99"/>
    <w:locked/>
    <w:rsid w:val="000B3FA6"/>
    <w:rPr>
      <w:rFonts w:ascii="Arial" w:hAnsi="Arial" w:cs="Times New Roman"/>
      <w:sz w:val="24"/>
      <w:szCs w:val="24"/>
      <w:lang w:eastAsia="en-US"/>
    </w:rPr>
  </w:style>
  <w:style w:type="paragraph" w:styleId="Corpodetexto2">
    <w:name w:val="Body Text 2"/>
    <w:basedOn w:val="Normal"/>
    <w:link w:val="Corpodetexto2Char"/>
    <w:uiPriority w:val="99"/>
    <w:semiHidden/>
    <w:rsid w:val="000E52BA"/>
    <w:pPr>
      <w:spacing w:line="480" w:lineRule="auto"/>
    </w:pPr>
  </w:style>
  <w:style w:type="character" w:customStyle="1" w:styleId="Corpodetexto2Char">
    <w:name w:val="Corpo de texto 2 Char"/>
    <w:basedOn w:val="Fontepargpadro"/>
    <w:link w:val="Corpodetexto2"/>
    <w:uiPriority w:val="99"/>
    <w:semiHidden/>
    <w:locked/>
    <w:rsid w:val="000B3FA6"/>
    <w:rPr>
      <w:rFonts w:ascii="Arial" w:hAnsi="Arial" w:cs="Times New Roman"/>
      <w:sz w:val="24"/>
      <w:szCs w:val="24"/>
      <w:lang w:eastAsia="en-US"/>
    </w:rPr>
  </w:style>
  <w:style w:type="paragraph" w:styleId="Corpodetexto3">
    <w:name w:val="Body Text 3"/>
    <w:basedOn w:val="Normal"/>
    <w:link w:val="Corpodetexto3Char"/>
    <w:uiPriority w:val="99"/>
    <w:semiHidden/>
    <w:rsid w:val="000E52BA"/>
    <w:rPr>
      <w:sz w:val="16"/>
      <w:szCs w:val="16"/>
    </w:rPr>
  </w:style>
  <w:style w:type="character" w:customStyle="1" w:styleId="Corpodetexto3Char">
    <w:name w:val="Corpo de texto 3 Char"/>
    <w:basedOn w:val="Fontepargpadro"/>
    <w:link w:val="Corpodetexto3"/>
    <w:uiPriority w:val="99"/>
    <w:semiHidden/>
    <w:locked/>
    <w:rsid w:val="000B3FA6"/>
    <w:rPr>
      <w:rFonts w:ascii="Arial" w:hAnsi="Arial" w:cs="Times New Roman"/>
      <w:sz w:val="16"/>
      <w:szCs w:val="16"/>
      <w:lang w:eastAsia="en-US"/>
    </w:rPr>
  </w:style>
  <w:style w:type="paragraph" w:styleId="Data">
    <w:name w:val="Date"/>
    <w:basedOn w:val="Normal"/>
    <w:next w:val="Normal"/>
    <w:link w:val="DataChar"/>
    <w:uiPriority w:val="99"/>
    <w:semiHidden/>
    <w:rsid w:val="000E52BA"/>
  </w:style>
  <w:style w:type="character" w:customStyle="1" w:styleId="DataChar">
    <w:name w:val="Data Char"/>
    <w:basedOn w:val="Fontepargpadro"/>
    <w:link w:val="Data"/>
    <w:uiPriority w:val="99"/>
    <w:semiHidden/>
    <w:locked/>
    <w:rsid w:val="000B3FA6"/>
    <w:rPr>
      <w:rFonts w:ascii="Arial" w:hAnsi="Arial" w:cs="Times New Roman"/>
      <w:sz w:val="24"/>
      <w:szCs w:val="24"/>
      <w:lang w:eastAsia="en-US"/>
    </w:rPr>
  </w:style>
  <w:style w:type="character" w:styleId="DefinioHTML">
    <w:name w:val="HTML Definition"/>
    <w:basedOn w:val="Fontepargpadro"/>
    <w:uiPriority w:val="99"/>
    <w:semiHidden/>
    <w:rsid w:val="000E52BA"/>
    <w:rPr>
      <w:rFonts w:cs="Times New Roman"/>
      <w:i/>
      <w:iCs/>
    </w:rPr>
  </w:style>
  <w:style w:type="paragraph" w:styleId="Destinatrio">
    <w:name w:val="envelope address"/>
    <w:basedOn w:val="Normal"/>
    <w:uiPriority w:val="99"/>
    <w:semiHidden/>
    <w:rsid w:val="000E52BA"/>
    <w:pPr>
      <w:framePr w:w="7938" w:h="1984" w:hRule="exact" w:hSpace="141" w:wrap="auto" w:hAnchor="page" w:xAlign="center" w:yAlign="bottom"/>
      <w:ind w:left="2835"/>
    </w:pPr>
    <w:rPr>
      <w:rFonts w:cs="Arial"/>
    </w:rPr>
  </w:style>
  <w:style w:type="paragraph" w:styleId="Encerramento">
    <w:name w:val="Closing"/>
    <w:basedOn w:val="Normal"/>
    <w:link w:val="EncerramentoChar"/>
    <w:uiPriority w:val="99"/>
    <w:semiHidden/>
    <w:rsid w:val="000E52BA"/>
    <w:pPr>
      <w:ind w:left="4252"/>
    </w:pPr>
  </w:style>
  <w:style w:type="character" w:customStyle="1" w:styleId="EncerramentoChar">
    <w:name w:val="Encerramento Char"/>
    <w:basedOn w:val="Fontepargpadro"/>
    <w:link w:val="Encerramento"/>
    <w:uiPriority w:val="99"/>
    <w:semiHidden/>
    <w:locked/>
    <w:rsid w:val="000B3FA6"/>
    <w:rPr>
      <w:rFonts w:ascii="Arial" w:hAnsi="Arial" w:cs="Times New Roman"/>
      <w:sz w:val="24"/>
      <w:szCs w:val="24"/>
      <w:lang w:eastAsia="en-US"/>
    </w:rPr>
  </w:style>
  <w:style w:type="paragraph" w:styleId="EndereoHTML">
    <w:name w:val="HTML Address"/>
    <w:basedOn w:val="Normal"/>
    <w:link w:val="EndereoHTMLChar"/>
    <w:uiPriority w:val="99"/>
    <w:semiHidden/>
    <w:rsid w:val="000E52BA"/>
    <w:rPr>
      <w:i/>
      <w:iCs/>
    </w:rPr>
  </w:style>
  <w:style w:type="character" w:customStyle="1" w:styleId="EndereoHTMLChar">
    <w:name w:val="Endereço HTML Char"/>
    <w:basedOn w:val="Fontepargpadro"/>
    <w:link w:val="EndereoHTML"/>
    <w:uiPriority w:val="99"/>
    <w:semiHidden/>
    <w:locked/>
    <w:rsid w:val="000B3FA6"/>
    <w:rPr>
      <w:rFonts w:ascii="Arial" w:hAnsi="Arial" w:cs="Times New Roman"/>
      <w:i/>
      <w:iCs/>
      <w:sz w:val="24"/>
      <w:szCs w:val="24"/>
      <w:lang w:eastAsia="en-US"/>
    </w:rPr>
  </w:style>
  <w:style w:type="character" w:styleId="nfase">
    <w:name w:val="Emphasis"/>
    <w:basedOn w:val="Fontepargpadro"/>
    <w:uiPriority w:val="20"/>
    <w:qFormat/>
    <w:rsid w:val="000E52BA"/>
    <w:rPr>
      <w:rFonts w:cs="Times New Roman"/>
      <w:i/>
      <w:iCs/>
    </w:rPr>
  </w:style>
  <w:style w:type="character" w:styleId="ExemploHTML">
    <w:name w:val="HTML Sample"/>
    <w:basedOn w:val="Fontepargpadro"/>
    <w:uiPriority w:val="99"/>
    <w:semiHidden/>
    <w:rsid w:val="000E52BA"/>
    <w:rPr>
      <w:rFonts w:ascii="Courier New" w:hAnsi="Courier New" w:cs="Courier New"/>
    </w:rPr>
  </w:style>
  <w:style w:type="character" w:styleId="Forte">
    <w:name w:val="Strong"/>
    <w:basedOn w:val="Fontepargpadro"/>
    <w:uiPriority w:val="22"/>
    <w:qFormat/>
    <w:rsid w:val="000E52BA"/>
    <w:rPr>
      <w:rFonts w:cs="Times New Roman"/>
      <w:b/>
      <w:bCs/>
    </w:rPr>
  </w:style>
  <w:style w:type="character" w:styleId="HiperlinkVisitado">
    <w:name w:val="FollowedHyperlink"/>
    <w:basedOn w:val="Fontepargpadro"/>
    <w:uiPriority w:val="99"/>
    <w:semiHidden/>
    <w:rsid w:val="000E52BA"/>
    <w:rPr>
      <w:rFonts w:cs="Times New Roman"/>
      <w:color w:val="800080"/>
      <w:u w:val="single"/>
    </w:rPr>
  </w:style>
  <w:style w:type="character" w:styleId="Hyperlink">
    <w:name w:val="Hyperlink"/>
    <w:basedOn w:val="Fontepargpadro"/>
    <w:uiPriority w:val="99"/>
    <w:rsid w:val="000E52BA"/>
    <w:rPr>
      <w:rFonts w:cs="Times New Roman"/>
      <w:color w:val="0000FF"/>
      <w:u w:val="single"/>
    </w:rPr>
  </w:style>
  <w:style w:type="paragraph" w:styleId="Lista">
    <w:name w:val="List"/>
    <w:basedOn w:val="Normal"/>
    <w:uiPriority w:val="99"/>
    <w:semiHidden/>
    <w:rsid w:val="000E52BA"/>
    <w:pPr>
      <w:ind w:left="283" w:hanging="283"/>
    </w:pPr>
  </w:style>
  <w:style w:type="paragraph" w:styleId="Lista2">
    <w:name w:val="List 2"/>
    <w:basedOn w:val="Normal"/>
    <w:uiPriority w:val="99"/>
    <w:semiHidden/>
    <w:rsid w:val="000E52BA"/>
    <w:pPr>
      <w:ind w:left="566" w:hanging="283"/>
    </w:pPr>
  </w:style>
  <w:style w:type="paragraph" w:styleId="Lista3">
    <w:name w:val="List 3"/>
    <w:basedOn w:val="Normal"/>
    <w:uiPriority w:val="99"/>
    <w:semiHidden/>
    <w:rsid w:val="000E52BA"/>
    <w:pPr>
      <w:ind w:left="849" w:hanging="283"/>
    </w:pPr>
  </w:style>
  <w:style w:type="paragraph" w:styleId="Lista4">
    <w:name w:val="List 4"/>
    <w:basedOn w:val="Normal"/>
    <w:uiPriority w:val="99"/>
    <w:semiHidden/>
    <w:rsid w:val="000E52BA"/>
    <w:pPr>
      <w:ind w:left="1132" w:hanging="283"/>
    </w:pPr>
  </w:style>
  <w:style w:type="paragraph" w:styleId="Lista5">
    <w:name w:val="List 5"/>
    <w:basedOn w:val="Normal"/>
    <w:uiPriority w:val="99"/>
    <w:semiHidden/>
    <w:rsid w:val="000E52BA"/>
    <w:pPr>
      <w:ind w:left="1415" w:hanging="283"/>
    </w:pPr>
  </w:style>
  <w:style w:type="paragraph" w:styleId="Listadecontinuao">
    <w:name w:val="List Continue"/>
    <w:basedOn w:val="Normal"/>
    <w:uiPriority w:val="99"/>
    <w:semiHidden/>
    <w:rsid w:val="000E52BA"/>
    <w:pPr>
      <w:ind w:left="283"/>
    </w:pPr>
  </w:style>
  <w:style w:type="paragraph" w:styleId="Listadecontinuao2">
    <w:name w:val="List Continue 2"/>
    <w:basedOn w:val="Normal"/>
    <w:uiPriority w:val="99"/>
    <w:semiHidden/>
    <w:rsid w:val="000E52BA"/>
    <w:pPr>
      <w:ind w:left="566"/>
    </w:pPr>
  </w:style>
  <w:style w:type="paragraph" w:styleId="Listadecontinuao3">
    <w:name w:val="List Continue 3"/>
    <w:basedOn w:val="Normal"/>
    <w:uiPriority w:val="99"/>
    <w:semiHidden/>
    <w:rsid w:val="000E52BA"/>
    <w:pPr>
      <w:ind w:left="849"/>
    </w:pPr>
  </w:style>
  <w:style w:type="paragraph" w:styleId="Listadecontinuao4">
    <w:name w:val="List Continue 4"/>
    <w:basedOn w:val="Normal"/>
    <w:uiPriority w:val="99"/>
    <w:semiHidden/>
    <w:rsid w:val="000E52BA"/>
    <w:pPr>
      <w:ind w:left="1132"/>
    </w:pPr>
  </w:style>
  <w:style w:type="paragraph" w:styleId="Listadecontinuao5">
    <w:name w:val="List Continue 5"/>
    <w:basedOn w:val="Normal"/>
    <w:uiPriority w:val="99"/>
    <w:semiHidden/>
    <w:rsid w:val="000E52BA"/>
    <w:pPr>
      <w:ind w:left="1415"/>
    </w:pPr>
  </w:style>
  <w:style w:type="character" w:styleId="MquinadeescreverHTML">
    <w:name w:val="HTML Typewriter"/>
    <w:basedOn w:val="Fontepargpadro"/>
    <w:uiPriority w:val="99"/>
    <w:semiHidden/>
    <w:rsid w:val="000E52BA"/>
    <w:rPr>
      <w:rFonts w:ascii="Courier New" w:hAnsi="Courier New" w:cs="Courier New"/>
      <w:sz w:val="20"/>
      <w:szCs w:val="20"/>
    </w:rPr>
  </w:style>
  <w:style w:type="paragraph" w:styleId="NormalWeb">
    <w:name w:val="Normal (Web)"/>
    <w:basedOn w:val="Normal"/>
    <w:uiPriority w:val="99"/>
    <w:semiHidden/>
    <w:rsid w:val="000E52BA"/>
    <w:rPr>
      <w:rFonts w:ascii="Times New Roman" w:hAnsi="Times New Roman"/>
    </w:rPr>
  </w:style>
  <w:style w:type="paragraph" w:styleId="Numerada2">
    <w:name w:val="List Number 2"/>
    <w:basedOn w:val="Normal"/>
    <w:uiPriority w:val="99"/>
    <w:semiHidden/>
    <w:rsid w:val="00221114"/>
    <w:pPr>
      <w:tabs>
        <w:tab w:val="num" w:pos="643"/>
      </w:tabs>
      <w:ind w:left="643" w:hanging="360"/>
    </w:pPr>
  </w:style>
  <w:style w:type="paragraph" w:styleId="Numerada3">
    <w:name w:val="List Number 3"/>
    <w:basedOn w:val="Normal"/>
    <w:uiPriority w:val="99"/>
    <w:semiHidden/>
    <w:rsid w:val="00221114"/>
    <w:pPr>
      <w:tabs>
        <w:tab w:val="num" w:pos="926"/>
      </w:tabs>
      <w:ind w:left="926" w:hanging="360"/>
    </w:pPr>
  </w:style>
  <w:style w:type="paragraph" w:styleId="Numerada4">
    <w:name w:val="List Number 4"/>
    <w:basedOn w:val="Normal"/>
    <w:uiPriority w:val="99"/>
    <w:semiHidden/>
    <w:rsid w:val="00221114"/>
    <w:pPr>
      <w:tabs>
        <w:tab w:val="num" w:pos="1209"/>
      </w:tabs>
      <w:ind w:left="1209" w:hanging="360"/>
    </w:pPr>
  </w:style>
  <w:style w:type="paragraph" w:styleId="Numerada5">
    <w:name w:val="List Number 5"/>
    <w:basedOn w:val="Normal"/>
    <w:uiPriority w:val="99"/>
    <w:semiHidden/>
    <w:rsid w:val="00221114"/>
    <w:pPr>
      <w:tabs>
        <w:tab w:val="num" w:pos="1492"/>
      </w:tabs>
      <w:ind w:left="1492" w:hanging="360"/>
    </w:pPr>
  </w:style>
  <w:style w:type="character" w:styleId="Nmerodelinha">
    <w:name w:val="line number"/>
    <w:basedOn w:val="Fontepargpadro"/>
    <w:uiPriority w:val="99"/>
    <w:semiHidden/>
    <w:rsid w:val="00221114"/>
    <w:rPr>
      <w:rFonts w:cs="Times New Roman"/>
    </w:rPr>
  </w:style>
  <w:style w:type="paragraph" w:styleId="Pr-formataoHTML">
    <w:name w:val="HTML Preformatted"/>
    <w:basedOn w:val="Normal"/>
    <w:link w:val="Pr-formataoHTMLChar"/>
    <w:uiPriority w:val="99"/>
    <w:semiHidden/>
    <w:rsid w:val="00221114"/>
    <w:rPr>
      <w:rFonts w:ascii="Courier New" w:hAnsi="Courier New" w:cs="Courier New"/>
      <w:sz w:val="20"/>
      <w:szCs w:val="20"/>
    </w:rPr>
  </w:style>
  <w:style w:type="character" w:customStyle="1" w:styleId="Pr-formataoHTMLChar">
    <w:name w:val="Pré-formatação HTML Char"/>
    <w:basedOn w:val="Fontepargpadro"/>
    <w:link w:val="Pr-formataoHTML"/>
    <w:uiPriority w:val="99"/>
    <w:semiHidden/>
    <w:locked/>
    <w:rsid w:val="000B3FA6"/>
    <w:rPr>
      <w:rFonts w:ascii="Courier New" w:hAnsi="Courier New" w:cs="Courier New"/>
      <w:sz w:val="20"/>
      <w:szCs w:val="20"/>
      <w:lang w:eastAsia="en-US"/>
    </w:rPr>
  </w:style>
  <w:style w:type="paragraph" w:styleId="Primeirorecuodecorpodetexto">
    <w:name w:val="Body Text First Indent"/>
    <w:basedOn w:val="Corpodetexto"/>
    <w:link w:val="PrimeirorecuodecorpodetextoChar"/>
    <w:uiPriority w:val="99"/>
    <w:semiHidden/>
    <w:rsid w:val="00221114"/>
    <w:pPr>
      <w:ind w:firstLine="210"/>
    </w:pPr>
  </w:style>
  <w:style w:type="character" w:customStyle="1" w:styleId="PrimeirorecuodecorpodetextoChar">
    <w:name w:val="Primeiro recuo de corpo de texto Char"/>
    <w:basedOn w:val="CorpodetextoChar"/>
    <w:link w:val="Primeirorecuodecorpodetexto"/>
    <w:uiPriority w:val="99"/>
    <w:semiHidden/>
    <w:locked/>
    <w:rsid w:val="000B3FA6"/>
    <w:rPr>
      <w:rFonts w:ascii="Arial" w:hAnsi="Arial" w:cs="Times New Roman"/>
      <w:sz w:val="24"/>
      <w:szCs w:val="24"/>
      <w:lang w:eastAsia="en-US"/>
    </w:rPr>
  </w:style>
  <w:style w:type="paragraph" w:styleId="Recuodecorpodetexto">
    <w:name w:val="Body Text Indent"/>
    <w:basedOn w:val="Normal"/>
    <w:link w:val="RecuodecorpodetextoChar"/>
    <w:uiPriority w:val="99"/>
    <w:semiHidden/>
    <w:rsid w:val="00221114"/>
    <w:pPr>
      <w:ind w:left="283"/>
    </w:pPr>
  </w:style>
  <w:style w:type="character" w:customStyle="1" w:styleId="RecuodecorpodetextoChar">
    <w:name w:val="Recuo de corpo de texto Char"/>
    <w:basedOn w:val="Fontepargpadro"/>
    <w:link w:val="Recuodecorpodetexto"/>
    <w:uiPriority w:val="99"/>
    <w:semiHidden/>
    <w:locked/>
    <w:rsid w:val="000B3FA6"/>
    <w:rPr>
      <w:rFonts w:ascii="Arial" w:hAnsi="Arial" w:cs="Times New Roman"/>
      <w:sz w:val="24"/>
      <w:szCs w:val="24"/>
      <w:lang w:eastAsia="en-US"/>
    </w:rPr>
  </w:style>
  <w:style w:type="paragraph" w:styleId="Primeirorecuodecorpodetexto2">
    <w:name w:val="Body Text First Indent 2"/>
    <w:basedOn w:val="Recuodecorpodetexto"/>
    <w:link w:val="Primeirorecuodecorpodetexto2Char"/>
    <w:uiPriority w:val="99"/>
    <w:semiHidden/>
    <w:rsid w:val="00221114"/>
    <w:pPr>
      <w:ind w:firstLine="210"/>
    </w:pPr>
  </w:style>
  <w:style w:type="character" w:customStyle="1" w:styleId="Primeirorecuodecorpodetexto2Char">
    <w:name w:val="Primeiro recuo de corpo de texto 2 Char"/>
    <w:basedOn w:val="RecuodecorpodetextoChar"/>
    <w:link w:val="Primeirorecuodecorpodetexto2"/>
    <w:uiPriority w:val="99"/>
    <w:semiHidden/>
    <w:locked/>
    <w:rsid w:val="000B3FA6"/>
    <w:rPr>
      <w:rFonts w:ascii="Arial" w:hAnsi="Arial" w:cs="Times New Roman"/>
      <w:sz w:val="24"/>
      <w:szCs w:val="24"/>
      <w:lang w:eastAsia="en-US"/>
    </w:rPr>
  </w:style>
  <w:style w:type="paragraph" w:styleId="Recuodecorpodetexto2">
    <w:name w:val="Body Text Indent 2"/>
    <w:basedOn w:val="Normal"/>
    <w:link w:val="Recuodecorpodetexto2Char"/>
    <w:uiPriority w:val="99"/>
    <w:semiHidden/>
    <w:rsid w:val="00221114"/>
    <w:pPr>
      <w:spacing w:line="480" w:lineRule="auto"/>
      <w:ind w:left="283"/>
    </w:pPr>
  </w:style>
  <w:style w:type="character" w:customStyle="1" w:styleId="Recuodecorpodetexto2Char">
    <w:name w:val="Recuo de corpo de texto 2 Char"/>
    <w:basedOn w:val="Fontepargpadro"/>
    <w:link w:val="Recuodecorpodetexto2"/>
    <w:uiPriority w:val="99"/>
    <w:semiHidden/>
    <w:locked/>
    <w:rsid w:val="000B3FA6"/>
    <w:rPr>
      <w:rFonts w:ascii="Arial" w:hAnsi="Arial" w:cs="Times New Roman"/>
      <w:sz w:val="24"/>
      <w:szCs w:val="24"/>
      <w:lang w:eastAsia="en-US"/>
    </w:rPr>
  </w:style>
  <w:style w:type="paragraph" w:styleId="Recuodecorpodetexto3">
    <w:name w:val="Body Text Indent 3"/>
    <w:basedOn w:val="Normal"/>
    <w:link w:val="Recuodecorpodetexto3Char"/>
    <w:uiPriority w:val="99"/>
    <w:semiHidden/>
    <w:rsid w:val="00221114"/>
    <w:pPr>
      <w:ind w:left="283"/>
    </w:pPr>
    <w:rPr>
      <w:sz w:val="16"/>
      <w:szCs w:val="16"/>
    </w:rPr>
  </w:style>
  <w:style w:type="character" w:customStyle="1" w:styleId="Recuodecorpodetexto3Char">
    <w:name w:val="Recuo de corpo de texto 3 Char"/>
    <w:basedOn w:val="Fontepargpadro"/>
    <w:link w:val="Recuodecorpodetexto3"/>
    <w:uiPriority w:val="99"/>
    <w:semiHidden/>
    <w:locked/>
    <w:rsid w:val="000B3FA6"/>
    <w:rPr>
      <w:rFonts w:ascii="Arial" w:hAnsi="Arial" w:cs="Times New Roman"/>
      <w:sz w:val="16"/>
      <w:szCs w:val="16"/>
      <w:lang w:eastAsia="en-US"/>
    </w:rPr>
  </w:style>
  <w:style w:type="paragraph" w:styleId="Recuonormal">
    <w:name w:val="Normal Indent"/>
    <w:basedOn w:val="Normal"/>
    <w:uiPriority w:val="99"/>
    <w:semiHidden/>
    <w:rsid w:val="00221114"/>
    <w:pPr>
      <w:ind w:left="708"/>
    </w:pPr>
  </w:style>
  <w:style w:type="paragraph" w:styleId="Remetente">
    <w:name w:val="envelope return"/>
    <w:basedOn w:val="Normal"/>
    <w:uiPriority w:val="99"/>
    <w:semiHidden/>
    <w:rsid w:val="00221114"/>
    <w:rPr>
      <w:rFonts w:cs="Arial"/>
      <w:sz w:val="20"/>
      <w:szCs w:val="20"/>
    </w:rPr>
  </w:style>
  <w:style w:type="paragraph" w:styleId="Saudao">
    <w:name w:val="Salutation"/>
    <w:basedOn w:val="Normal"/>
    <w:next w:val="Normal"/>
    <w:link w:val="SaudaoChar"/>
    <w:uiPriority w:val="99"/>
    <w:semiHidden/>
    <w:rsid w:val="00221114"/>
  </w:style>
  <w:style w:type="character" w:customStyle="1" w:styleId="SaudaoChar">
    <w:name w:val="Saudação Char"/>
    <w:basedOn w:val="Fontepargpadro"/>
    <w:link w:val="Saudao"/>
    <w:uiPriority w:val="99"/>
    <w:semiHidden/>
    <w:locked/>
    <w:rsid w:val="000B3FA6"/>
    <w:rPr>
      <w:rFonts w:ascii="Arial" w:hAnsi="Arial" w:cs="Times New Roman"/>
      <w:sz w:val="24"/>
      <w:szCs w:val="24"/>
      <w:lang w:eastAsia="en-US"/>
    </w:rPr>
  </w:style>
  <w:style w:type="paragraph" w:styleId="Subttulo">
    <w:name w:val="Subtitle"/>
    <w:basedOn w:val="Normal"/>
    <w:link w:val="SubttuloChar"/>
    <w:uiPriority w:val="99"/>
    <w:qFormat/>
    <w:rsid w:val="00221114"/>
    <w:pPr>
      <w:spacing w:after="60"/>
      <w:jc w:val="center"/>
      <w:outlineLvl w:val="1"/>
    </w:pPr>
    <w:rPr>
      <w:rFonts w:cs="Arial"/>
    </w:rPr>
  </w:style>
  <w:style w:type="character" w:customStyle="1" w:styleId="SubttuloChar">
    <w:name w:val="Subtítulo Char"/>
    <w:basedOn w:val="Fontepargpadro"/>
    <w:link w:val="Subttulo"/>
    <w:uiPriority w:val="99"/>
    <w:locked/>
    <w:rsid w:val="000B3FA6"/>
    <w:rPr>
      <w:rFonts w:ascii="Cambria" w:hAnsi="Cambria" w:cs="Times New Roman"/>
      <w:sz w:val="24"/>
      <w:szCs w:val="24"/>
      <w:lang w:eastAsia="en-US"/>
    </w:rPr>
  </w:style>
  <w:style w:type="table" w:styleId="Tabelaclssica1">
    <w:name w:val="Table Classic 1"/>
    <w:basedOn w:val="Tabelanormal"/>
    <w:uiPriority w:val="99"/>
    <w:semiHidden/>
    <w:rsid w:val="00221114"/>
    <w:pPr>
      <w:tabs>
        <w:tab w:val="left" w:pos="709"/>
      </w:tabs>
      <w:spacing w:line="360" w:lineRule="auto"/>
      <w:jc w:val="both"/>
    </w:p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clssica2">
    <w:name w:val="Table Classic 2"/>
    <w:basedOn w:val="Tabelanormal"/>
    <w:uiPriority w:val="99"/>
    <w:semiHidden/>
    <w:rsid w:val="00221114"/>
    <w:pPr>
      <w:tabs>
        <w:tab w:val="left" w:pos="709"/>
      </w:tabs>
      <w:spacing w:line="360" w:lineRule="auto"/>
      <w:jc w:val="both"/>
    </w:pPr>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elaclssica3">
    <w:name w:val="Table Classic 3"/>
    <w:basedOn w:val="Tabelanormal"/>
    <w:uiPriority w:val="99"/>
    <w:semiHidden/>
    <w:rsid w:val="00221114"/>
    <w:pPr>
      <w:tabs>
        <w:tab w:val="left" w:pos="709"/>
      </w:tabs>
      <w:spacing w:line="360" w:lineRule="auto"/>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elaclssica4">
    <w:name w:val="Table Classic 4"/>
    <w:basedOn w:val="Tabelanormal"/>
    <w:uiPriority w:val="99"/>
    <w:semiHidden/>
    <w:rsid w:val="00221114"/>
    <w:pPr>
      <w:tabs>
        <w:tab w:val="left" w:pos="709"/>
      </w:tabs>
      <w:spacing w:line="360" w:lineRule="auto"/>
      <w:jc w:val="both"/>
    </w:pPr>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elacolorida1">
    <w:name w:val="Table Colorful 1"/>
    <w:basedOn w:val="Tabelanormal"/>
    <w:uiPriority w:val="99"/>
    <w:semiHidden/>
    <w:rsid w:val="00221114"/>
    <w:pPr>
      <w:tabs>
        <w:tab w:val="left" w:pos="709"/>
      </w:tabs>
      <w:spacing w:line="360" w:lineRule="auto"/>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acolorida2">
    <w:name w:val="Table Colorful 2"/>
    <w:basedOn w:val="Tabelanormal"/>
    <w:uiPriority w:val="99"/>
    <w:semiHidden/>
    <w:rsid w:val="00221114"/>
    <w:pPr>
      <w:tabs>
        <w:tab w:val="left" w:pos="709"/>
      </w:tabs>
      <w:spacing w:line="360" w:lineRule="auto"/>
      <w:jc w:val="both"/>
    </w:pPr>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elacolorida3">
    <w:name w:val="Table Colorful 3"/>
    <w:basedOn w:val="Tabelanormal"/>
    <w:uiPriority w:val="99"/>
    <w:semiHidden/>
    <w:rsid w:val="00221114"/>
    <w:pPr>
      <w:tabs>
        <w:tab w:val="left" w:pos="709"/>
      </w:tabs>
      <w:spacing w:line="360" w:lineRule="auto"/>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elacomefeitos3D1">
    <w:name w:val="Table 3D effects 1"/>
    <w:basedOn w:val="Tabelanormal"/>
    <w:uiPriority w:val="99"/>
    <w:semiHidden/>
    <w:rsid w:val="00221114"/>
    <w:pPr>
      <w:tabs>
        <w:tab w:val="left" w:pos="709"/>
      </w:tabs>
      <w:spacing w:line="360" w:lineRule="auto"/>
      <w:jc w:val="both"/>
    </w:pP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elacomefeitos3D2">
    <w:name w:val="Table 3D effects 2"/>
    <w:basedOn w:val="Tabelanormal"/>
    <w:uiPriority w:val="99"/>
    <w:semiHidden/>
    <w:rsid w:val="00221114"/>
    <w:pPr>
      <w:tabs>
        <w:tab w:val="left" w:pos="709"/>
      </w:tabs>
      <w:spacing w:line="360" w:lineRule="auto"/>
      <w:jc w:val="both"/>
    </w:pPr>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comefeitos3D3">
    <w:name w:val="Table 3D effects 3"/>
    <w:basedOn w:val="Tabelanormal"/>
    <w:uiPriority w:val="99"/>
    <w:semiHidden/>
    <w:rsid w:val="00221114"/>
    <w:pPr>
      <w:tabs>
        <w:tab w:val="left" w:pos="709"/>
      </w:tabs>
      <w:spacing w:line="360" w:lineRule="auto"/>
      <w:jc w:val="both"/>
    </w:p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comgrade">
    <w:name w:val="Table Grid"/>
    <w:basedOn w:val="Tabelanormal"/>
    <w:uiPriority w:val="59"/>
    <w:rsid w:val="00221114"/>
    <w:pPr>
      <w:tabs>
        <w:tab w:val="left" w:pos="709"/>
      </w:tabs>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mgrade2">
    <w:name w:val="Table Grid 2"/>
    <w:basedOn w:val="Tabelanormal"/>
    <w:uiPriority w:val="99"/>
    <w:semiHidden/>
    <w:rsid w:val="00221114"/>
    <w:pPr>
      <w:tabs>
        <w:tab w:val="left" w:pos="709"/>
      </w:tabs>
      <w:spacing w:line="360" w:lineRule="auto"/>
      <w:jc w:val="both"/>
    </w:pPr>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acomgrade3">
    <w:name w:val="Table Grid 3"/>
    <w:basedOn w:val="Tabelanormal"/>
    <w:uiPriority w:val="99"/>
    <w:semiHidden/>
    <w:rsid w:val="00221114"/>
    <w:pPr>
      <w:tabs>
        <w:tab w:val="left" w:pos="709"/>
      </w:tabs>
      <w:spacing w:line="360" w:lineRule="auto"/>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elacomgrade4">
    <w:name w:val="Table Grid 4"/>
    <w:basedOn w:val="Tabelanormal"/>
    <w:uiPriority w:val="99"/>
    <w:semiHidden/>
    <w:rsid w:val="00221114"/>
    <w:pPr>
      <w:tabs>
        <w:tab w:val="left" w:pos="709"/>
      </w:tabs>
      <w:spacing w:line="360" w:lineRule="auto"/>
      <w:jc w:val="both"/>
    </w:pPr>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elacomgrade5">
    <w:name w:val="Table Grid 5"/>
    <w:basedOn w:val="Tabelanormal"/>
    <w:uiPriority w:val="99"/>
    <w:semiHidden/>
    <w:rsid w:val="00221114"/>
    <w:pPr>
      <w:tabs>
        <w:tab w:val="left" w:pos="709"/>
      </w:tabs>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acomgrade6">
    <w:name w:val="Table Grid 6"/>
    <w:basedOn w:val="Tabelanormal"/>
    <w:uiPriority w:val="99"/>
    <w:semiHidden/>
    <w:rsid w:val="00221114"/>
    <w:pPr>
      <w:tabs>
        <w:tab w:val="left" w:pos="709"/>
      </w:tabs>
      <w:spacing w:line="360" w:lineRule="auto"/>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acomgrade7">
    <w:name w:val="Table Grid 7"/>
    <w:basedOn w:val="Tabelanormal"/>
    <w:uiPriority w:val="99"/>
    <w:semiHidden/>
    <w:rsid w:val="00221114"/>
    <w:pPr>
      <w:tabs>
        <w:tab w:val="left" w:pos="709"/>
      </w:tabs>
      <w:spacing w:line="360" w:lineRule="auto"/>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elacomgrade8">
    <w:name w:val="Table Grid 8"/>
    <w:basedOn w:val="Tabelanormal"/>
    <w:uiPriority w:val="99"/>
    <w:semiHidden/>
    <w:rsid w:val="00221114"/>
    <w:pPr>
      <w:tabs>
        <w:tab w:val="left" w:pos="709"/>
      </w:tabs>
      <w:spacing w:line="360" w:lineRule="auto"/>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elacomtema">
    <w:name w:val="Table Theme"/>
    <w:basedOn w:val="Tabelanormal"/>
    <w:uiPriority w:val="99"/>
    <w:semiHidden/>
    <w:rsid w:val="00221114"/>
    <w:pPr>
      <w:tabs>
        <w:tab w:val="left" w:pos="709"/>
      </w:tabs>
      <w:spacing w:line="36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contempornea">
    <w:name w:val="Table Contemporary"/>
    <w:basedOn w:val="Tabelanormal"/>
    <w:uiPriority w:val="99"/>
    <w:semiHidden/>
    <w:rsid w:val="00221114"/>
    <w:pPr>
      <w:tabs>
        <w:tab w:val="left" w:pos="709"/>
      </w:tabs>
      <w:spacing w:line="360" w:lineRule="auto"/>
      <w:jc w:val="both"/>
    </w:pPr>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eladaWeb1">
    <w:name w:val="Table Web 1"/>
    <w:basedOn w:val="Tabelanormal"/>
    <w:uiPriority w:val="99"/>
    <w:semiHidden/>
    <w:rsid w:val="00221114"/>
    <w:pPr>
      <w:tabs>
        <w:tab w:val="left" w:pos="709"/>
      </w:tabs>
      <w:spacing w:line="360" w:lineRule="auto"/>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adaWeb2">
    <w:name w:val="Table Web 2"/>
    <w:basedOn w:val="Tabelanormal"/>
    <w:uiPriority w:val="99"/>
    <w:semiHidden/>
    <w:rsid w:val="00221114"/>
    <w:pPr>
      <w:tabs>
        <w:tab w:val="left" w:pos="709"/>
      </w:tabs>
      <w:spacing w:line="360" w:lineRule="auto"/>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adaWeb3">
    <w:name w:val="Table Web 3"/>
    <w:basedOn w:val="Tabelanormal"/>
    <w:uiPriority w:val="99"/>
    <w:semiHidden/>
    <w:rsid w:val="00221114"/>
    <w:pPr>
      <w:tabs>
        <w:tab w:val="left" w:pos="709"/>
      </w:tabs>
      <w:spacing w:line="360" w:lineRule="auto"/>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elaelegante">
    <w:name w:val="Table Elegant"/>
    <w:basedOn w:val="Tabelanormal"/>
    <w:uiPriority w:val="99"/>
    <w:semiHidden/>
    <w:rsid w:val="00221114"/>
    <w:pPr>
      <w:tabs>
        <w:tab w:val="left" w:pos="709"/>
      </w:tabs>
      <w:spacing w:line="360" w:lineRule="auto"/>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elaemcolunas1">
    <w:name w:val="Table Columns 1"/>
    <w:basedOn w:val="Tabelanormal"/>
    <w:uiPriority w:val="99"/>
    <w:semiHidden/>
    <w:rsid w:val="00221114"/>
    <w:pPr>
      <w:tabs>
        <w:tab w:val="left" w:pos="709"/>
      </w:tabs>
      <w:spacing w:line="360" w:lineRule="auto"/>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mcolunas2">
    <w:name w:val="Table Columns 2"/>
    <w:basedOn w:val="Tabelanormal"/>
    <w:uiPriority w:val="99"/>
    <w:semiHidden/>
    <w:rsid w:val="00221114"/>
    <w:pPr>
      <w:tabs>
        <w:tab w:val="left" w:pos="709"/>
      </w:tabs>
      <w:spacing w:line="360" w:lineRule="auto"/>
      <w:jc w:val="both"/>
    </w:pPr>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mcolunas3">
    <w:name w:val="Table Columns 3"/>
    <w:basedOn w:val="Tabelanormal"/>
    <w:uiPriority w:val="99"/>
    <w:semiHidden/>
    <w:rsid w:val="00221114"/>
    <w:pPr>
      <w:tabs>
        <w:tab w:val="left" w:pos="709"/>
      </w:tabs>
      <w:spacing w:line="360" w:lineRule="auto"/>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elaemcolunas4">
    <w:name w:val="Table Columns 4"/>
    <w:basedOn w:val="Tabelanormal"/>
    <w:uiPriority w:val="99"/>
    <w:semiHidden/>
    <w:rsid w:val="00221114"/>
    <w:pPr>
      <w:tabs>
        <w:tab w:val="left" w:pos="709"/>
      </w:tabs>
      <w:spacing w:line="360" w:lineRule="auto"/>
      <w:jc w:val="both"/>
    </w:pPr>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elaemcolunas5">
    <w:name w:val="Table Columns 5"/>
    <w:basedOn w:val="Tabelanormal"/>
    <w:uiPriority w:val="99"/>
    <w:semiHidden/>
    <w:rsid w:val="00221114"/>
    <w:pPr>
      <w:tabs>
        <w:tab w:val="left" w:pos="709"/>
      </w:tabs>
      <w:spacing w:line="360" w:lineRule="auto"/>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elaemlista1">
    <w:name w:val="Table List 1"/>
    <w:basedOn w:val="Tabelanormal"/>
    <w:uiPriority w:val="99"/>
    <w:semiHidden/>
    <w:rsid w:val="00221114"/>
    <w:pPr>
      <w:tabs>
        <w:tab w:val="left" w:pos="709"/>
      </w:tabs>
      <w:spacing w:line="360" w:lineRule="auto"/>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mlista2">
    <w:name w:val="Table List 2"/>
    <w:basedOn w:val="Tabelanormal"/>
    <w:uiPriority w:val="99"/>
    <w:semiHidden/>
    <w:rsid w:val="00221114"/>
    <w:pPr>
      <w:tabs>
        <w:tab w:val="left" w:pos="709"/>
      </w:tabs>
      <w:spacing w:line="360" w:lineRule="auto"/>
      <w:jc w:val="both"/>
    </w:pPr>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emlista3">
    <w:name w:val="Table List 3"/>
    <w:basedOn w:val="Tabelanormal"/>
    <w:uiPriority w:val="99"/>
    <w:semiHidden/>
    <w:rsid w:val="00221114"/>
    <w:pPr>
      <w:tabs>
        <w:tab w:val="left" w:pos="709"/>
      </w:tabs>
      <w:spacing w:line="360" w:lineRule="auto"/>
      <w:jc w:val="both"/>
    </w:pPr>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elaemlista4">
    <w:name w:val="Table List 4"/>
    <w:basedOn w:val="Tabelanormal"/>
    <w:uiPriority w:val="99"/>
    <w:semiHidden/>
    <w:rsid w:val="00221114"/>
    <w:pPr>
      <w:tabs>
        <w:tab w:val="left" w:pos="709"/>
      </w:tabs>
      <w:spacing w:line="360" w:lineRule="auto"/>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emlista5">
    <w:name w:val="Table List 5"/>
    <w:basedOn w:val="Tabelanormal"/>
    <w:uiPriority w:val="99"/>
    <w:semiHidden/>
    <w:rsid w:val="00221114"/>
    <w:pPr>
      <w:tabs>
        <w:tab w:val="left" w:pos="709"/>
      </w:tabs>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elaemlista6">
    <w:name w:val="Table List 6"/>
    <w:basedOn w:val="Tabelanormal"/>
    <w:uiPriority w:val="99"/>
    <w:semiHidden/>
    <w:rsid w:val="00221114"/>
    <w:pPr>
      <w:tabs>
        <w:tab w:val="left" w:pos="709"/>
      </w:tabs>
      <w:spacing w:line="360" w:lineRule="auto"/>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elaemlista7">
    <w:name w:val="Table List 7"/>
    <w:basedOn w:val="Tabelanormal"/>
    <w:uiPriority w:val="99"/>
    <w:semiHidden/>
    <w:rsid w:val="00221114"/>
    <w:pPr>
      <w:tabs>
        <w:tab w:val="left" w:pos="709"/>
      </w:tabs>
      <w:spacing w:line="360" w:lineRule="auto"/>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elaemlista8">
    <w:name w:val="Table List 8"/>
    <w:basedOn w:val="Tabelanormal"/>
    <w:uiPriority w:val="99"/>
    <w:semiHidden/>
    <w:rsid w:val="00221114"/>
    <w:pPr>
      <w:tabs>
        <w:tab w:val="left" w:pos="709"/>
      </w:tabs>
      <w:spacing w:line="360" w:lineRule="auto"/>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elaprofissional">
    <w:name w:val="Table Professional"/>
    <w:basedOn w:val="Tabelanormal"/>
    <w:uiPriority w:val="99"/>
    <w:semiHidden/>
    <w:rsid w:val="00221114"/>
    <w:pPr>
      <w:tabs>
        <w:tab w:val="left" w:pos="709"/>
      </w:tabs>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elaSimples-1">
    <w:name w:val="Table Simple 1"/>
    <w:basedOn w:val="Tabelanormal"/>
    <w:uiPriority w:val="99"/>
    <w:semiHidden/>
    <w:rsid w:val="00221114"/>
    <w:pPr>
      <w:tabs>
        <w:tab w:val="left" w:pos="709"/>
      </w:tabs>
      <w:spacing w:line="360" w:lineRule="auto"/>
      <w:jc w:val="both"/>
    </w:pPr>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elaSimples-2">
    <w:name w:val="Table Simple 2"/>
    <w:basedOn w:val="Tabelanormal"/>
    <w:uiPriority w:val="99"/>
    <w:semiHidden/>
    <w:rsid w:val="00221114"/>
    <w:pPr>
      <w:tabs>
        <w:tab w:val="left" w:pos="709"/>
      </w:tabs>
      <w:spacing w:line="360" w:lineRule="auto"/>
      <w:jc w:val="both"/>
    </w:pP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elaSimples-3">
    <w:name w:val="Table Simple 3"/>
    <w:basedOn w:val="Tabelanormal"/>
    <w:uiPriority w:val="99"/>
    <w:semiHidden/>
    <w:rsid w:val="00221114"/>
    <w:pPr>
      <w:tabs>
        <w:tab w:val="left" w:pos="709"/>
      </w:tabs>
      <w:spacing w:line="360" w:lineRule="auto"/>
      <w:jc w:val="both"/>
    </w:pPr>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elasutil1">
    <w:name w:val="Table Subtle 1"/>
    <w:basedOn w:val="Tabelanormal"/>
    <w:uiPriority w:val="99"/>
    <w:semiHidden/>
    <w:rsid w:val="00221114"/>
    <w:pPr>
      <w:tabs>
        <w:tab w:val="left" w:pos="709"/>
      </w:tabs>
      <w:spacing w:line="360" w:lineRule="auto"/>
      <w:jc w:val="both"/>
    </w:p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elasutil2">
    <w:name w:val="Table Subtle 2"/>
    <w:basedOn w:val="Tabelanormal"/>
    <w:uiPriority w:val="99"/>
    <w:semiHidden/>
    <w:rsid w:val="00221114"/>
    <w:pPr>
      <w:tabs>
        <w:tab w:val="left" w:pos="709"/>
      </w:tabs>
      <w:spacing w:line="360" w:lineRule="auto"/>
      <w:jc w:val="both"/>
    </w:pPr>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character" w:styleId="TecladoHTML">
    <w:name w:val="HTML Keyboard"/>
    <w:basedOn w:val="Fontepargpadro"/>
    <w:uiPriority w:val="99"/>
    <w:semiHidden/>
    <w:rsid w:val="00221114"/>
    <w:rPr>
      <w:rFonts w:ascii="Courier New" w:hAnsi="Courier New" w:cs="Courier New"/>
      <w:sz w:val="20"/>
      <w:szCs w:val="20"/>
    </w:rPr>
  </w:style>
  <w:style w:type="paragraph" w:styleId="Textoembloco">
    <w:name w:val="Block Text"/>
    <w:basedOn w:val="Normal"/>
    <w:uiPriority w:val="99"/>
    <w:semiHidden/>
    <w:rsid w:val="00221114"/>
    <w:pPr>
      <w:ind w:left="1440" w:right="1440"/>
    </w:pPr>
  </w:style>
  <w:style w:type="paragraph" w:styleId="TextosemFormatao">
    <w:name w:val="Plain Text"/>
    <w:basedOn w:val="Normal"/>
    <w:link w:val="TextosemFormataoChar"/>
    <w:uiPriority w:val="99"/>
    <w:semiHidden/>
    <w:rsid w:val="00221114"/>
    <w:rPr>
      <w:rFonts w:ascii="Courier New" w:hAnsi="Courier New" w:cs="Courier New"/>
      <w:sz w:val="20"/>
      <w:szCs w:val="20"/>
    </w:rPr>
  </w:style>
  <w:style w:type="character" w:customStyle="1" w:styleId="TextosemFormataoChar">
    <w:name w:val="Texto sem Formatação Char"/>
    <w:basedOn w:val="Fontepargpadro"/>
    <w:link w:val="TextosemFormatao"/>
    <w:uiPriority w:val="99"/>
    <w:semiHidden/>
    <w:locked/>
    <w:rsid w:val="000B3FA6"/>
    <w:rPr>
      <w:rFonts w:ascii="Courier New" w:hAnsi="Courier New" w:cs="Courier New"/>
      <w:sz w:val="20"/>
      <w:szCs w:val="20"/>
      <w:lang w:eastAsia="en-US"/>
    </w:rPr>
  </w:style>
  <w:style w:type="character" w:styleId="VarivelHTML">
    <w:name w:val="HTML Variable"/>
    <w:basedOn w:val="Fontepargpadro"/>
    <w:uiPriority w:val="99"/>
    <w:semiHidden/>
    <w:rsid w:val="00221114"/>
    <w:rPr>
      <w:rFonts w:cs="Times New Roman"/>
      <w:i/>
      <w:iCs/>
    </w:rPr>
  </w:style>
  <w:style w:type="paragraph" w:styleId="Ttulo">
    <w:name w:val="Title"/>
    <w:basedOn w:val="Normal"/>
    <w:link w:val="TtuloChar"/>
    <w:uiPriority w:val="99"/>
    <w:qFormat/>
    <w:rsid w:val="00E2548A"/>
    <w:pPr>
      <w:jc w:val="center"/>
      <w:outlineLvl w:val="0"/>
    </w:pPr>
    <w:rPr>
      <w:rFonts w:cs="Arial"/>
      <w:b/>
      <w:bCs/>
      <w:caps/>
      <w:kern w:val="28"/>
      <w:szCs w:val="32"/>
    </w:rPr>
  </w:style>
  <w:style w:type="character" w:customStyle="1" w:styleId="TtuloChar">
    <w:name w:val="Título Char"/>
    <w:basedOn w:val="Fontepargpadro"/>
    <w:link w:val="Ttulo"/>
    <w:uiPriority w:val="99"/>
    <w:locked/>
    <w:rsid w:val="000B3FA6"/>
    <w:rPr>
      <w:rFonts w:ascii="Cambria" w:hAnsi="Cambria" w:cs="Times New Roman"/>
      <w:b/>
      <w:bCs/>
      <w:kern w:val="28"/>
      <w:sz w:val="32"/>
      <w:szCs w:val="32"/>
      <w:lang w:eastAsia="en-US"/>
    </w:rPr>
  </w:style>
  <w:style w:type="paragraph" w:customStyle="1" w:styleId="Normalmenor">
    <w:name w:val="Normal menor"/>
    <w:basedOn w:val="Normal"/>
    <w:next w:val="Normal"/>
    <w:link w:val="NormalmenorChar"/>
    <w:rsid w:val="001B6DBD"/>
    <w:pPr>
      <w:spacing w:line="240" w:lineRule="auto"/>
    </w:pPr>
    <w:rPr>
      <w:sz w:val="20"/>
    </w:rPr>
  </w:style>
  <w:style w:type="paragraph" w:customStyle="1" w:styleId="Capa-Grauacadmico">
    <w:name w:val="Capa - Grau acadêmico"/>
    <w:basedOn w:val="Normalmenor"/>
    <w:link w:val="Capa-GrauacadmicoCharChar"/>
    <w:rsid w:val="00DF7F27"/>
    <w:pPr>
      <w:ind w:left="4536"/>
    </w:pPr>
    <w:rPr>
      <w:b/>
    </w:rPr>
  </w:style>
  <w:style w:type="paragraph" w:customStyle="1" w:styleId="Figura">
    <w:name w:val="Figura"/>
    <w:basedOn w:val="Normal"/>
    <w:uiPriority w:val="99"/>
    <w:rsid w:val="00BF52CB"/>
    <w:pPr>
      <w:spacing w:after="240" w:line="240" w:lineRule="auto"/>
      <w:jc w:val="center"/>
    </w:pPr>
  </w:style>
  <w:style w:type="character" w:customStyle="1" w:styleId="NormalmenorChar">
    <w:name w:val="Normal menor Char"/>
    <w:basedOn w:val="Fontepargpadro"/>
    <w:link w:val="Normalmenor"/>
    <w:locked/>
    <w:rsid w:val="00DF7F27"/>
    <w:rPr>
      <w:rFonts w:ascii="Arial" w:hAnsi="Arial" w:cs="Times New Roman"/>
      <w:sz w:val="24"/>
      <w:szCs w:val="24"/>
      <w:lang w:val="pt-BR" w:eastAsia="en-US" w:bidi="ar-SA"/>
    </w:rPr>
  </w:style>
  <w:style w:type="character" w:customStyle="1" w:styleId="Capa-GrauacadmicoCharChar">
    <w:name w:val="Capa - Grau acadêmico Char Char"/>
    <w:basedOn w:val="NormalmenorChar"/>
    <w:link w:val="Capa-Grauacadmico"/>
    <w:locked/>
    <w:rsid w:val="00DF7F27"/>
    <w:rPr>
      <w:rFonts w:ascii="Arial" w:hAnsi="Arial" w:cs="Times New Roman"/>
      <w:b/>
      <w:sz w:val="24"/>
      <w:szCs w:val="24"/>
      <w:lang w:val="pt-BR" w:eastAsia="en-US" w:bidi="ar-SA"/>
    </w:rPr>
  </w:style>
  <w:style w:type="character" w:customStyle="1" w:styleId="TtulodaFiguraChar">
    <w:name w:val="Título da Figura Char"/>
    <w:basedOn w:val="Fontepargpadro"/>
    <w:link w:val="TtulodaFigura"/>
    <w:uiPriority w:val="99"/>
    <w:locked/>
    <w:rsid w:val="00322649"/>
    <w:rPr>
      <w:rFonts w:asciiTheme="minorHAnsi" w:hAnsiTheme="minorHAnsi"/>
      <w:caps/>
      <w:color w:val="002060"/>
      <w:szCs w:val="24"/>
      <w:lang w:eastAsia="en-US"/>
    </w:rPr>
  </w:style>
  <w:style w:type="character" w:customStyle="1" w:styleId="Sumrio2Char">
    <w:name w:val="Sumário 2 Char"/>
    <w:basedOn w:val="Fontepargpadro"/>
    <w:link w:val="Sumrio2"/>
    <w:uiPriority w:val="39"/>
    <w:locked/>
    <w:rsid w:val="00653D72"/>
    <w:rPr>
      <w:rFonts w:asciiTheme="minorHAnsi" w:hAnsiTheme="minorHAnsi"/>
      <w:color w:val="002060"/>
      <w:sz w:val="24"/>
      <w:szCs w:val="24"/>
      <w:lang w:eastAsia="en-US"/>
    </w:rPr>
  </w:style>
  <w:style w:type="paragraph" w:customStyle="1" w:styleId="NormalGrande">
    <w:name w:val="Normal Grande"/>
    <w:basedOn w:val="Normal"/>
    <w:rsid w:val="001B12A8"/>
    <w:pPr>
      <w:jc w:val="center"/>
    </w:pPr>
    <w:rPr>
      <w:b/>
      <w:caps/>
    </w:rPr>
  </w:style>
  <w:style w:type="paragraph" w:styleId="Numerada">
    <w:name w:val="List Number"/>
    <w:basedOn w:val="Normal"/>
    <w:uiPriority w:val="99"/>
    <w:semiHidden/>
    <w:rsid w:val="00510234"/>
    <w:pPr>
      <w:tabs>
        <w:tab w:val="num" w:pos="360"/>
      </w:tabs>
      <w:ind w:left="360" w:hanging="360"/>
    </w:pPr>
  </w:style>
  <w:style w:type="character" w:styleId="Nmerodepgina">
    <w:name w:val="page number"/>
    <w:basedOn w:val="Fontepargpadro"/>
    <w:rsid w:val="00E37DB5"/>
    <w:rPr>
      <w:rFonts w:ascii="Arial" w:hAnsi="Arial" w:cs="Times New Roman"/>
      <w:sz w:val="20"/>
    </w:rPr>
  </w:style>
  <w:style w:type="paragraph" w:styleId="Rodap">
    <w:name w:val="footer"/>
    <w:basedOn w:val="Normal"/>
    <w:link w:val="RodapChar"/>
    <w:uiPriority w:val="99"/>
    <w:rsid w:val="00D64084"/>
    <w:pPr>
      <w:tabs>
        <w:tab w:val="clear" w:pos="851"/>
        <w:tab w:val="center" w:pos="4252"/>
        <w:tab w:val="right" w:pos="8504"/>
      </w:tabs>
    </w:pPr>
  </w:style>
  <w:style w:type="character" w:customStyle="1" w:styleId="RodapChar">
    <w:name w:val="Rodapé Char"/>
    <w:basedOn w:val="Fontepargpadro"/>
    <w:link w:val="Rodap"/>
    <w:uiPriority w:val="99"/>
    <w:locked/>
    <w:rsid w:val="000B3FA6"/>
    <w:rPr>
      <w:rFonts w:ascii="Arial" w:hAnsi="Arial" w:cs="Times New Roman"/>
      <w:sz w:val="24"/>
      <w:szCs w:val="24"/>
      <w:lang w:eastAsia="en-US"/>
    </w:rPr>
  </w:style>
  <w:style w:type="paragraph" w:styleId="Textodenotaderodap">
    <w:name w:val="footnote text"/>
    <w:basedOn w:val="Normal"/>
    <w:link w:val="TextodenotaderodapChar"/>
    <w:uiPriority w:val="99"/>
    <w:rsid w:val="00B40D8B"/>
    <w:pPr>
      <w:ind w:firstLine="851"/>
    </w:pPr>
    <w:rPr>
      <w:sz w:val="20"/>
      <w:szCs w:val="20"/>
    </w:rPr>
  </w:style>
  <w:style w:type="character" w:customStyle="1" w:styleId="TextodenotaderodapChar">
    <w:name w:val="Texto de nota de rodapé Char"/>
    <w:basedOn w:val="Fontepargpadro"/>
    <w:link w:val="Textodenotaderodap"/>
    <w:uiPriority w:val="99"/>
    <w:locked/>
    <w:rsid w:val="000B3FA6"/>
    <w:rPr>
      <w:rFonts w:ascii="Arial" w:hAnsi="Arial" w:cs="Times New Roman"/>
      <w:sz w:val="20"/>
      <w:szCs w:val="20"/>
      <w:lang w:eastAsia="en-US"/>
    </w:rPr>
  </w:style>
  <w:style w:type="character" w:styleId="Refdenotaderodap">
    <w:name w:val="footnote reference"/>
    <w:basedOn w:val="Fontepargpadro"/>
    <w:uiPriority w:val="99"/>
    <w:semiHidden/>
    <w:rsid w:val="00B40D8B"/>
    <w:rPr>
      <w:rFonts w:cs="Times New Roman"/>
      <w:vertAlign w:val="superscript"/>
    </w:rPr>
  </w:style>
  <w:style w:type="table" w:customStyle="1" w:styleId="Tabela">
    <w:name w:val="Tabela"/>
    <w:basedOn w:val="Tabelacomgrade"/>
    <w:uiPriority w:val="99"/>
    <w:rsid w:val="00954C3E"/>
    <w:pPr>
      <w:keepNext/>
      <w:keepLines/>
      <w:tabs>
        <w:tab w:val="clear" w:pos="709"/>
      </w:tabs>
      <w:spacing w:line="240" w:lineRule="auto"/>
      <w:jc w:val="center"/>
    </w:pPr>
    <w:rPr>
      <w:rFonts w:ascii="Arial" w:hAnsi="Arial"/>
    </w:rPr>
    <w:tblPr>
      <w:jc w:val="center"/>
    </w:tblPr>
    <w:trPr>
      <w:jc w:val="center"/>
    </w:trPr>
  </w:style>
  <w:style w:type="paragraph" w:customStyle="1" w:styleId="TtulodaTabela">
    <w:name w:val="Título da Tabela"/>
    <w:basedOn w:val="Normal"/>
    <w:uiPriority w:val="99"/>
    <w:rsid w:val="00392DD0"/>
    <w:pPr>
      <w:keepNext/>
      <w:numPr>
        <w:numId w:val="7"/>
      </w:numPr>
      <w:tabs>
        <w:tab w:val="clear" w:pos="851"/>
      </w:tabs>
      <w:spacing w:after="240" w:line="240" w:lineRule="auto"/>
    </w:pPr>
    <w:rPr>
      <w:caps/>
      <w:sz w:val="20"/>
    </w:rPr>
  </w:style>
  <w:style w:type="paragraph" w:customStyle="1" w:styleId="Normalnegrito">
    <w:name w:val="Normal negrito"/>
    <w:basedOn w:val="Normal"/>
    <w:uiPriority w:val="99"/>
    <w:rsid w:val="0018638D"/>
    <w:rPr>
      <w:b/>
    </w:rPr>
  </w:style>
  <w:style w:type="paragraph" w:customStyle="1" w:styleId="Normalitlico">
    <w:name w:val="Normal itálico"/>
    <w:basedOn w:val="Normal"/>
    <w:link w:val="NormalitlicoChar"/>
    <w:uiPriority w:val="99"/>
    <w:rsid w:val="0018638D"/>
    <w:rPr>
      <w:i/>
    </w:rPr>
  </w:style>
  <w:style w:type="paragraph" w:customStyle="1" w:styleId="ResumoeAbstract">
    <w:name w:val="Resumo e Abstract"/>
    <w:basedOn w:val="Normal"/>
    <w:rsid w:val="00996D2B"/>
    <w:pPr>
      <w:tabs>
        <w:tab w:val="clear" w:pos="851"/>
      </w:tabs>
      <w:spacing w:line="240" w:lineRule="auto"/>
    </w:pPr>
  </w:style>
  <w:style w:type="paragraph" w:styleId="Legenda">
    <w:name w:val="caption"/>
    <w:basedOn w:val="Normal"/>
    <w:next w:val="Normal"/>
    <w:uiPriority w:val="99"/>
    <w:qFormat/>
    <w:rsid w:val="00ED662B"/>
    <w:pPr>
      <w:spacing w:line="240" w:lineRule="auto"/>
      <w:ind w:left="1304" w:hanging="1304"/>
      <w:jc w:val="center"/>
    </w:pPr>
    <w:rPr>
      <w:bCs/>
      <w:sz w:val="16"/>
    </w:rPr>
  </w:style>
  <w:style w:type="table" w:styleId="Tabelacomgrade1">
    <w:name w:val="Table Grid 1"/>
    <w:basedOn w:val="Tabelanormal"/>
    <w:uiPriority w:val="99"/>
    <w:semiHidden/>
    <w:rsid w:val="007B4DFD"/>
    <w:pPr>
      <w:tabs>
        <w:tab w:val="left" w:pos="851"/>
      </w:tabs>
      <w:spacing w:line="360" w:lineRule="auto"/>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paragraph" w:styleId="Ttulodanota">
    <w:name w:val="Note Heading"/>
    <w:basedOn w:val="Normal"/>
    <w:next w:val="Normal"/>
    <w:link w:val="TtulodanotaChar"/>
    <w:uiPriority w:val="99"/>
    <w:semiHidden/>
    <w:rsid w:val="007B4DFD"/>
  </w:style>
  <w:style w:type="character" w:customStyle="1" w:styleId="TtulodanotaChar">
    <w:name w:val="Título da nota Char"/>
    <w:basedOn w:val="Fontepargpadro"/>
    <w:link w:val="Ttulodanota"/>
    <w:uiPriority w:val="99"/>
    <w:semiHidden/>
    <w:locked/>
    <w:rsid w:val="000B3FA6"/>
    <w:rPr>
      <w:rFonts w:ascii="Arial" w:hAnsi="Arial" w:cs="Times New Roman"/>
      <w:sz w:val="24"/>
      <w:szCs w:val="24"/>
      <w:lang w:eastAsia="en-US"/>
    </w:rPr>
  </w:style>
  <w:style w:type="paragraph" w:customStyle="1" w:styleId="TtulodaFigura">
    <w:name w:val="Título da Figura"/>
    <w:basedOn w:val="Normal"/>
    <w:next w:val="Normal"/>
    <w:link w:val="TtulodaFiguraChar"/>
    <w:uiPriority w:val="99"/>
    <w:rsid w:val="00322649"/>
    <w:pPr>
      <w:keepNext/>
      <w:keepLines/>
      <w:numPr>
        <w:numId w:val="6"/>
      </w:numPr>
      <w:tabs>
        <w:tab w:val="clear" w:pos="851"/>
      </w:tabs>
      <w:spacing w:after="240" w:line="240" w:lineRule="auto"/>
    </w:pPr>
    <w:rPr>
      <w:caps/>
      <w:sz w:val="20"/>
    </w:rPr>
  </w:style>
  <w:style w:type="character" w:customStyle="1" w:styleId="Sumrio1Char">
    <w:name w:val="Sumário 1 Char"/>
    <w:basedOn w:val="Fontepargpadro"/>
    <w:link w:val="Sumrio1"/>
    <w:uiPriority w:val="39"/>
    <w:locked/>
    <w:rsid w:val="005B225B"/>
    <w:rPr>
      <w:rFonts w:asciiTheme="minorHAnsi" w:hAnsiTheme="minorHAnsi"/>
      <w:noProof/>
      <w:color w:val="002060"/>
      <w:sz w:val="24"/>
      <w:szCs w:val="24"/>
      <w:lang w:eastAsia="en-US"/>
    </w:rPr>
  </w:style>
  <w:style w:type="paragraph" w:styleId="ndicedeilustraes">
    <w:name w:val="table of figures"/>
    <w:basedOn w:val="Normal"/>
    <w:next w:val="Normal"/>
    <w:uiPriority w:val="99"/>
    <w:rsid w:val="00ED662B"/>
    <w:pPr>
      <w:tabs>
        <w:tab w:val="clear" w:pos="851"/>
      </w:tabs>
      <w:ind w:left="480" w:hanging="480"/>
      <w:jc w:val="left"/>
    </w:pPr>
    <w:rPr>
      <w:sz w:val="20"/>
      <w:szCs w:val="20"/>
    </w:rPr>
  </w:style>
  <w:style w:type="character" w:customStyle="1" w:styleId="NormalitlicoChar">
    <w:name w:val="Normal itálico Char"/>
    <w:basedOn w:val="Fontepargpadro"/>
    <w:link w:val="Normalitlico"/>
    <w:uiPriority w:val="99"/>
    <w:locked/>
    <w:rsid w:val="005B6806"/>
    <w:rPr>
      <w:rFonts w:ascii="Arial" w:hAnsi="Arial" w:cs="Times New Roman"/>
      <w:i/>
      <w:sz w:val="24"/>
      <w:szCs w:val="24"/>
      <w:lang w:val="pt-BR" w:eastAsia="en-US" w:bidi="ar-SA"/>
    </w:rPr>
  </w:style>
  <w:style w:type="paragraph" w:customStyle="1" w:styleId="FolhadeRostodosCaptulos">
    <w:name w:val="Folha de Rosto dos Capítulos"/>
    <w:basedOn w:val="Normal"/>
    <w:rsid w:val="00387F07"/>
    <w:pPr>
      <w:spacing w:before="12000"/>
      <w:ind w:right="567"/>
      <w:jc w:val="right"/>
    </w:pPr>
    <w:rPr>
      <w:b/>
      <w:caps/>
      <w:sz w:val="32"/>
    </w:rPr>
  </w:style>
  <w:style w:type="table" w:customStyle="1" w:styleId="Quadro">
    <w:name w:val="Quadro"/>
    <w:basedOn w:val="Tabelacomgrade"/>
    <w:uiPriority w:val="99"/>
    <w:rsid w:val="00954C3E"/>
    <w:pPr>
      <w:jc w:val="center"/>
    </w:pPr>
    <w:rPr>
      <w:rFonts w:ascii="Arial" w:hAnsi="Arial"/>
    </w:rPr>
    <w:tblPr/>
  </w:style>
  <w:style w:type="character" w:styleId="Refdecomentrio">
    <w:name w:val="annotation reference"/>
    <w:basedOn w:val="Fontepargpadro"/>
    <w:uiPriority w:val="99"/>
    <w:semiHidden/>
    <w:rsid w:val="00C7184E"/>
    <w:rPr>
      <w:rFonts w:cs="Times New Roman"/>
      <w:sz w:val="16"/>
      <w:szCs w:val="16"/>
    </w:rPr>
  </w:style>
  <w:style w:type="paragraph" w:customStyle="1" w:styleId="Textodasilustraes">
    <w:name w:val="Texto das ilustrações"/>
    <w:basedOn w:val="Normalmenor"/>
    <w:uiPriority w:val="99"/>
    <w:rsid w:val="0075471D"/>
    <w:pPr>
      <w:keepLines/>
      <w:spacing w:before="120"/>
      <w:jc w:val="center"/>
    </w:pPr>
  </w:style>
  <w:style w:type="paragraph" w:styleId="Textodecomentrio">
    <w:name w:val="annotation text"/>
    <w:basedOn w:val="Normal"/>
    <w:link w:val="TextodecomentrioChar"/>
    <w:uiPriority w:val="99"/>
    <w:semiHidden/>
    <w:rsid w:val="00C7184E"/>
    <w:rPr>
      <w:sz w:val="20"/>
      <w:szCs w:val="20"/>
    </w:rPr>
  </w:style>
  <w:style w:type="character" w:customStyle="1" w:styleId="TextodecomentrioChar">
    <w:name w:val="Texto de comentário Char"/>
    <w:basedOn w:val="Fontepargpadro"/>
    <w:link w:val="Textodecomentrio"/>
    <w:uiPriority w:val="99"/>
    <w:semiHidden/>
    <w:locked/>
    <w:rsid w:val="000B3FA6"/>
    <w:rPr>
      <w:rFonts w:ascii="Arial" w:hAnsi="Arial" w:cs="Times New Roman"/>
      <w:sz w:val="20"/>
      <w:szCs w:val="20"/>
      <w:lang w:eastAsia="en-US"/>
    </w:rPr>
  </w:style>
  <w:style w:type="paragraph" w:styleId="Assuntodocomentrio">
    <w:name w:val="annotation subject"/>
    <w:basedOn w:val="Textodecomentrio"/>
    <w:next w:val="Textodecomentrio"/>
    <w:link w:val="AssuntodocomentrioChar"/>
    <w:uiPriority w:val="99"/>
    <w:semiHidden/>
    <w:rsid w:val="00C7184E"/>
    <w:rPr>
      <w:b/>
      <w:bCs/>
    </w:rPr>
  </w:style>
  <w:style w:type="character" w:customStyle="1" w:styleId="AssuntodocomentrioChar">
    <w:name w:val="Assunto do comentário Char"/>
    <w:basedOn w:val="TextodecomentrioChar"/>
    <w:link w:val="Assuntodocomentrio"/>
    <w:uiPriority w:val="99"/>
    <w:semiHidden/>
    <w:locked/>
    <w:rsid w:val="000B3FA6"/>
    <w:rPr>
      <w:rFonts w:ascii="Arial" w:hAnsi="Arial" w:cs="Times New Roman"/>
      <w:b/>
      <w:bCs/>
      <w:sz w:val="20"/>
      <w:szCs w:val="20"/>
      <w:lang w:eastAsia="en-US"/>
    </w:rPr>
  </w:style>
  <w:style w:type="paragraph" w:styleId="Textodebalo">
    <w:name w:val="Balloon Text"/>
    <w:basedOn w:val="Normal"/>
    <w:link w:val="TextodebaloChar"/>
    <w:uiPriority w:val="99"/>
    <w:semiHidden/>
    <w:rsid w:val="00C7184E"/>
    <w:rPr>
      <w:rFonts w:ascii="Tahoma" w:hAnsi="Tahoma" w:cs="Tahoma"/>
      <w:sz w:val="16"/>
      <w:szCs w:val="16"/>
    </w:rPr>
  </w:style>
  <w:style w:type="character" w:customStyle="1" w:styleId="TextodebaloChar">
    <w:name w:val="Texto de balão Char"/>
    <w:basedOn w:val="Fontepargpadro"/>
    <w:link w:val="Textodebalo"/>
    <w:uiPriority w:val="99"/>
    <w:semiHidden/>
    <w:locked/>
    <w:rsid w:val="000B3FA6"/>
    <w:rPr>
      <w:rFonts w:cs="Times New Roman"/>
      <w:sz w:val="2"/>
      <w:lang w:eastAsia="en-US"/>
    </w:rPr>
  </w:style>
  <w:style w:type="paragraph" w:customStyle="1" w:styleId="TtulodoApndice">
    <w:name w:val="Título do Apêndice"/>
    <w:basedOn w:val="Normal"/>
    <w:next w:val="Normal"/>
    <w:rsid w:val="00C20B7C"/>
    <w:pPr>
      <w:keepNext/>
      <w:keepLines/>
      <w:pageBreakBefore/>
      <w:numPr>
        <w:numId w:val="11"/>
      </w:numPr>
      <w:tabs>
        <w:tab w:val="clear" w:pos="851"/>
        <w:tab w:val="left" w:pos="0"/>
      </w:tabs>
      <w:spacing w:after="360" w:line="240" w:lineRule="auto"/>
      <w:outlineLvl w:val="8"/>
    </w:pPr>
    <w:rPr>
      <w:b/>
      <w:caps/>
    </w:rPr>
  </w:style>
  <w:style w:type="paragraph" w:customStyle="1" w:styleId="TtulodoAnexo">
    <w:name w:val="Título do Anexo"/>
    <w:basedOn w:val="Normal"/>
    <w:next w:val="Normal"/>
    <w:rsid w:val="00501430"/>
    <w:pPr>
      <w:keepNext/>
      <w:keepLines/>
      <w:pageBreakBefore/>
      <w:numPr>
        <w:numId w:val="12"/>
      </w:numPr>
      <w:spacing w:after="360" w:line="240" w:lineRule="auto"/>
      <w:ind w:left="1259" w:hanging="1259"/>
      <w:outlineLvl w:val="8"/>
    </w:pPr>
    <w:rPr>
      <w:b/>
      <w:caps/>
    </w:rPr>
  </w:style>
  <w:style w:type="paragraph" w:customStyle="1" w:styleId="Referncias">
    <w:name w:val="Referências"/>
    <w:basedOn w:val="Normal"/>
    <w:uiPriority w:val="99"/>
    <w:rsid w:val="00311941"/>
    <w:pPr>
      <w:spacing w:after="240" w:line="240" w:lineRule="auto"/>
    </w:pPr>
    <w:rPr>
      <w:lang w:val="en-US"/>
    </w:rPr>
  </w:style>
  <w:style w:type="paragraph" w:customStyle="1" w:styleId="EstiloNormalGrandeesquerda">
    <w:name w:val="Estilo Normal Grande + À esquerda"/>
    <w:basedOn w:val="NormalGrande"/>
    <w:uiPriority w:val="99"/>
    <w:rsid w:val="00BD4083"/>
    <w:pPr>
      <w:keepNext/>
      <w:jc w:val="left"/>
    </w:pPr>
    <w:rPr>
      <w:bCs/>
      <w:szCs w:val="20"/>
    </w:rPr>
  </w:style>
  <w:style w:type="paragraph" w:customStyle="1" w:styleId="TtulodoQuadro">
    <w:name w:val="Título do Quadro"/>
    <w:basedOn w:val="Normal"/>
    <w:uiPriority w:val="99"/>
    <w:rsid w:val="002F1ACC"/>
    <w:pPr>
      <w:keepNext/>
      <w:numPr>
        <w:numId w:val="9"/>
      </w:numPr>
      <w:spacing w:after="240" w:line="240" w:lineRule="auto"/>
      <w:ind w:left="1236" w:hanging="1236"/>
    </w:pPr>
    <w:rPr>
      <w:caps/>
      <w:sz w:val="20"/>
    </w:rPr>
  </w:style>
  <w:style w:type="paragraph" w:customStyle="1" w:styleId="TtulodoGrfico">
    <w:name w:val="Título do Gráfico"/>
    <w:basedOn w:val="Normal"/>
    <w:uiPriority w:val="99"/>
    <w:rsid w:val="00322649"/>
    <w:pPr>
      <w:keepNext/>
      <w:keepLines/>
      <w:numPr>
        <w:numId w:val="10"/>
      </w:numPr>
      <w:tabs>
        <w:tab w:val="clear" w:pos="851"/>
      </w:tabs>
      <w:spacing w:after="240" w:line="240" w:lineRule="auto"/>
    </w:pPr>
    <w:rPr>
      <w:caps/>
      <w:sz w:val="20"/>
    </w:rPr>
  </w:style>
  <w:style w:type="paragraph" w:styleId="MapadoDocumento">
    <w:name w:val="Document Map"/>
    <w:basedOn w:val="Normal"/>
    <w:link w:val="MapadoDocumentoChar"/>
    <w:uiPriority w:val="99"/>
    <w:semiHidden/>
    <w:rsid w:val="008F369C"/>
    <w:pPr>
      <w:shd w:val="clear" w:color="auto" w:fill="000080"/>
    </w:pPr>
    <w:rPr>
      <w:rFonts w:ascii="Tahoma" w:hAnsi="Tahoma" w:cs="Tahoma"/>
      <w:sz w:val="20"/>
      <w:szCs w:val="20"/>
    </w:rPr>
  </w:style>
  <w:style w:type="character" w:customStyle="1" w:styleId="MapadoDocumentoChar">
    <w:name w:val="Mapa do Documento Char"/>
    <w:basedOn w:val="Fontepargpadro"/>
    <w:link w:val="MapadoDocumento"/>
    <w:uiPriority w:val="99"/>
    <w:semiHidden/>
    <w:locked/>
    <w:rsid w:val="000B3FA6"/>
    <w:rPr>
      <w:rFonts w:cs="Times New Roman"/>
      <w:sz w:val="2"/>
      <w:lang w:eastAsia="en-US"/>
    </w:rPr>
  </w:style>
  <w:style w:type="paragraph" w:styleId="ndicedeautoridades">
    <w:name w:val="table of authorities"/>
    <w:basedOn w:val="Normal"/>
    <w:next w:val="Normal"/>
    <w:uiPriority w:val="99"/>
    <w:semiHidden/>
    <w:rsid w:val="008F369C"/>
    <w:pPr>
      <w:tabs>
        <w:tab w:val="clear" w:pos="851"/>
      </w:tabs>
      <w:ind w:left="240" w:hanging="240"/>
    </w:pPr>
  </w:style>
  <w:style w:type="paragraph" w:styleId="Remissivo1">
    <w:name w:val="index 1"/>
    <w:basedOn w:val="Normal"/>
    <w:next w:val="Normal"/>
    <w:autoRedefine/>
    <w:uiPriority w:val="99"/>
    <w:semiHidden/>
    <w:rsid w:val="008F369C"/>
    <w:pPr>
      <w:tabs>
        <w:tab w:val="clear" w:pos="851"/>
      </w:tabs>
      <w:ind w:left="240" w:hanging="240"/>
    </w:pPr>
  </w:style>
  <w:style w:type="paragraph" w:styleId="Remissivo2">
    <w:name w:val="index 2"/>
    <w:basedOn w:val="Normal"/>
    <w:next w:val="Normal"/>
    <w:autoRedefine/>
    <w:uiPriority w:val="99"/>
    <w:semiHidden/>
    <w:rsid w:val="008F369C"/>
    <w:pPr>
      <w:tabs>
        <w:tab w:val="clear" w:pos="851"/>
      </w:tabs>
      <w:ind w:left="480" w:hanging="240"/>
    </w:pPr>
  </w:style>
  <w:style w:type="paragraph" w:styleId="Remissivo3">
    <w:name w:val="index 3"/>
    <w:basedOn w:val="Normal"/>
    <w:next w:val="Normal"/>
    <w:autoRedefine/>
    <w:uiPriority w:val="99"/>
    <w:semiHidden/>
    <w:rsid w:val="008F369C"/>
    <w:pPr>
      <w:tabs>
        <w:tab w:val="clear" w:pos="851"/>
      </w:tabs>
      <w:ind w:left="720" w:hanging="240"/>
    </w:pPr>
  </w:style>
  <w:style w:type="paragraph" w:styleId="Remissivo4">
    <w:name w:val="index 4"/>
    <w:basedOn w:val="Normal"/>
    <w:next w:val="Normal"/>
    <w:autoRedefine/>
    <w:uiPriority w:val="99"/>
    <w:semiHidden/>
    <w:rsid w:val="008F369C"/>
    <w:pPr>
      <w:tabs>
        <w:tab w:val="clear" w:pos="851"/>
      </w:tabs>
      <w:ind w:left="960" w:hanging="240"/>
    </w:pPr>
  </w:style>
  <w:style w:type="paragraph" w:styleId="Remissivo5">
    <w:name w:val="index 5"/>
    <w:basedOn w:val="Normal"/>
    <w:next w:val="Normal"/>
    <w:autoRedefine/>
    <w:uiPriority w:val="99"/>
    <w:semiHidden/>
    <w:rsid w:val="008F369C"/>
    <w:pPr>
      <w:tabs>
        <w:tab w:val="clear" w:pos="851"/>
      </w:tabs>
      <w:ind w:left="1200" w:hanging="240"/>
    </w:pPr>
  </w:style>
  <w:style w:type="paragraph" w:styleId="Remissivo6">
    <w:name w:val="index 6"/>
    <w:basedOn w:val="Normal"/>
    <w:next w:val="Normal"/>
    <w:autoRedefine/>
    <w:uiPriority w:val="99"/>
    <w:semiHidden/>
    <w:rsid w:val="008F369C"/>
    <w:pPr>
      <w:tabs>
        <w:tab w:val="clear" w:pos="851"/>
      </w:tabs>
      <w:ind w:left="1440" w:hanging="240"/>
    </w:pPr>
  </w:style>
  <w:style w:type="paragraph" w:styleId="Remissivo7">
    <w:name w:val="index 7"/>
    <w:basedOn w:val="Normal"/>
    <w:next w:val="Normal"/>
    <w:autoRedefine/>
    <w:uiPriority w:val="99"/>
    <w:semiHidden/>
    <w:rsid w:val="008F369C"/>
    <w:pPr>
      <w:tabs>
        <w:tab w:val="clear" w:pos="851"/>
      </w:tabs>
      <w:ind w:left="1680" w:hanging="240"/>
    </w:pPr>
  </w:style>
  <w:style w:type="paragraph" w:styleId="Remissivo8">
    <w:name w:val="index 8"/>
    <w:basedOn w:val="Normal"/>
    <w:next w:val="Normal"/>
    <w:autoRedefine/>
    <w:uiPriority w:val="99"/>
    <w:semiHidden/>
    <w:rsid w:val="008F369C"/>
    <w:pPr>
      <w:tabs>
        <w:tab w:val="clear" w:pos="851"/>
      </w:tabs>
      <w:ind w:left="1920" w:hanging="240"/>
    </w:pPr>
  </w:style>
  <w:style w:type="paragraph" w:styleId="Remissivo9">
    <w:name w:val="index 9"/>
    <w:basedOn w:val="Normal"/>
    <w:next w:val="Normal"/>
    <w:autoRedefine/>
    <w:uiPriority w:val="99"/>
    <w:semiHidden/>
    <w:rsid w:val="008F369C"/>
    <w:pPr>
      <w:tabs>
        <w:tab w:val="clear" w:pos="851"/>
      </w:tabs>
      <w:ind w:left="2160" w:hanging="240"/>
    </w:pPr>
  </w:style>
  <w:style w:type="paragraph" w:styleId="Textodemacro">
    <w:name w:val="macro"/>
    <w:link w:val="TextodemacroChar"/>
    <w:uiPriority w:val="99"/>
    <w:semiHidden/>
    <w:rsid w:val="008F369C"/>
    <w:pPr>
      <w:tabs>
        <w:tab w:val="left" w:pos="480"/>
        <w:tab w:val="left" w:pos="960"/>
        <w:tab w:val="left" w:pos="1440"/>
        <w:tab w:val="left" w:pos="1920"/>
        <w:tab w:val="left" w:pos="2400"/>
        <w:tab w:val="left" w:pos="2880"/>
        <w:tab w:val="left" w:pos="3360"/>
        <w:tab w:val="left" w:pos="3840"/>
        <w:tab w:val="left" w:pos="4320"/>
      </w:tabs>
      <w:spacing w:line="360" w:lineRule="auto"/>
      <w:jc w:val="both"/>
    </w:pPr>
    <w:rPr>
      <w:rFonts w:ascii="Courier New" w:hAnsi="Courier New" w:cs="Courier New"/>
      <w:lang w:eastAsia="en-US"/>
    </w:rPr>
  </w:style>
  <w:style w:type="character" w:customStyle="1" w:styleId="TextodemacroChar">
    <w:name w:val="Texto de macro Char"/>
    <w:basedOn w:val="Fontepargpadro"/>
    <w:link w:val="Textodemacro"/>
    <w:uiPriority w:val="99"/>
    <w:semiHidden/>
    <w:locked/>
    <w:rsid w:val="000B3FA6"/>
    <w:rPr>
      <w:rFonts w:ascii="Courier New" w:hAnsi="Courier New" w:cs="Courier New"/>
      <w:lang w:val="pt-BR" w:eastAsia="en-US" w:bidi="ar-SA"/>
    </w:rPr>
  </w:style>
  <w:style w:type="paragraph" w:styleId="Textodenotadefim">
    <w:name w:val="endnote text"/>
    <w:basedOn w:val="Normal"/>
    <w:link w:val="TextodenotadefimChar"/>
    <w:uiPriority w:val="99"/>
    <w:semiHidden/>
    <w:rsid w:val="008F369C"/>
    <w:rPr>
      <w:sz w:val="20"/>
      <w:szCs w:val="20"/>
    </w:rPr>
  </w:style>
  <w:style w:type="character" w:customStyle="1" w:styleId="TextodenotadefimChar">
    <w:name w:val="Texto de nota de fim Char"/>
    <w:basedOn w:val="Fontepargpadro"/>
    <w:link w:val="Textodenotadefim"/>
    <w:uiPriority w:val="99"/>
    <w:semiHidden/>
    <w:locked/>
    <w:rsid w:val="000B3FA6"/>
    <w:rPr>
      <w:rFonts w:ascii="Arial" w:hAnsi="Arial" w:cs="Times New Roman"/>
      <w:sz w:val="20"/>
      <w:szCs w:val="20"/>
      <w:lang w:eastAsia="en-US"/>
    </w:rPr>
  </w:style>
  <w:style w:type="paragraph" w:styleId="Ttulodendicedeautoridades">
    <w:name w:val="toa heading"/>
    <w:basedOn w:val="Normal"/>
    <w:next w:val="Normal"/>
    <w:uiPriority w:val="99"/>
    <w:semiHidden/>
    <w:rsid w:val="008F369C"/>
    <w:pPr>
      <w:spacing w:before="120"/>
    </w:pPr>
    <w:rPr>
      <w:rFonts w:cs="Arial"/>
      <w:b/>
      <w:bCs/>
    </w:rPr>
  </w:style>
  <w:style w:type="paragraph" w:styleId="Ttulodendiceremissivo">
    <w:name w:val="index heading"/>
    <w:basedOn w:val="Normal"/>
    <w:next w:val="Remissivo1"/>
    <w:uiPriority w:val="99"/>
    <w:semiHidden/>
    <w:rsid w:val="008F369C"/>
    <w:rPr>
      <w:rFonts w:cs="Arial"/>
      <w:b/>
      <w:bCs/>
    </w:rPr>
  </w:style>
  <w:style w:type="paragraph" w:customStyle="1" w:styleId="Legenda1">
    <w:name w:val="Legenda1"/>
    <w:basedOn w:val="Normal"/>
    <w:next w:val="Normal"/>
    <w:uiPriority w:val="99"/>
    <w:rsid w:val="00151454"/>
    <w:pPr>
      <w:tabs>
        <w:tab w:val="clear" w:pos="851"/>
        <w:tab w:val="left" w:pos="567"/>
      </w:tabs>
      <w:suppressAutoHyphens/>
      <w:spacing w:after="60" w:line="100" w:lineRule="atLeast"/>
      <w:jc w:val="center"/>
    </w:pPr>
    <w:rPr>
      <w:b/>
      <w:sz w:val="20"/>
      <w:szCs w:val="20"/>
      <w:lang w:eastAsia="ar-SA"/>
    </w:rPr>
  </w:style>
  <w:style w:type="numbering" w:styleId="1ai">
    <w:name w:val="Outline List 1"/>
    <w:basedOn w:val="Semlista"/>
    <w:uiPriority w:val="99"/>
    <w:semiHidden/>
    <w:unhideWhenUsed/>
    <w:locked/>
    <w:rsid w:val="00B40135"/>
    <w:pPr>
      <w:numPr>
        <w:numId w:val="4"/>
      </w:numPr>
    </w:pPr>
  </w:style>
  <w:style w:type="numbering" w:customStyle="1" w:styleId="ListaNumerada-Nmeros">
    <w:name w:val="Lista Numerada - Números"/>
    <w:rsid w:val="00B40135"/>
    <w:pPr>
      <w:numPr>
        <w:numId w:val="8"/>
      </w:numPr>
    </w:pPr>
  </w:style>
  <w:style w:type="numbering" w:customStyle="1" w:styleId="ListaNumerada-AlneaseIncisos">
    <w:name w:val="Lista Numerada - Alíneas e Incisos"/>
    <w:rsid w:val="00B40135"/>
    <w:pPr>
      <w:numPr>
        <w:numId w:val="5"/>
      </w:numPr>
    </w:pPr>
  </w:style>
  <w:style w:type="numbering" w:styleId="Artigoseo">
    <w:name w:val="Outline List 3"/>
    <w:basedOn w:val="Semlista"/>
    <w:uiPriority w:val="99"/>
    <w:semiHidden/>
    <w:unhideWhenUsed/>
    <w:locked/>
    <w:rsid w:val="00B40135"/>
    <w:pPr>
      <w:numPr>
        <w:numId w:val="2"/>
      </w:numPr>
    </w:pPr>
  </w:style>
  <w:style w:type="numbering" w:styleId="111111">
    <w:name w:val="Outline List 2"/>
    <w:basedOn w:val="Semlista"/>
    <w:uiPriority w:val="99"/>
    <w:semiHidden/>
    <w:unhideWhenUsed/>
    <w:locked/>
    <w:rsid w:val="00B40135"/>
    <w:pPr>
      <w:numPr>
        <w:numId w:val="3"/>
      </w:numPr>
    </w:pPr>
  </w:style>
  <w:style w:type="paragraph" w:styleId="Citao">
    <w:name w:val="Quote"/>
    <w:basedOn w:val="Normal"/>
    <w:next w:val="Normal"/>
    <w:link w:val="CitaoChar"/>
    <w:uiPriority w:val="29"/>
    <w:qFormat/>
    <w:rsid w:val="00C3795F"/>
    <w:pPr>
      <w:spacing w:before="200" w:after="160"/>
      <w:ind w:left="864" w:right="864"/>
      <w:jc w:val="center"/>
    </w:pPr>
    <w:rPr>
      <w:i/>
      <w:iCs/>
      <w:color w:val="404040" w:themeColor="text1" w:themeTint="BF"/>
    </w:rPr>
  </w:style>
  <w:style w:type="character" w:customStyle="1" w:styleId="CitaoChar">
    <w:name w:val="Citação Char"/>
    <w:basedOn w:val="Fontepargpadro"/>
    <w:link w:val="Citao"/>
    <w:uiPriority w:val="29"/>
    <w:rsid w:val="00C3795F"/>
    <w:rPr>
      <w:rFonts w:ascii="Arial" w:hAnsi="Arial"/>
      <w:i/>
      <w:iCs/>
      <w:color w:val="404040" w:themeColor="text1" w:themeTint="BF"/>
      <w:sz w:val="24"/>
      <w:szCs w:val="24"/>
      <w:lang w:eastAsia="en-US"/>
    </w:rPr>
  </w:style>
  <w:style w:type="table" w:customStyle="1" w:styleId="TabelaSimples21">
    <w:name w:val="Tabela Simples 21"/>
    <w:basedOn w:val="Tabelanormal"/>
    <w:uiPriority w:val="42"/>
    <w:rsid w:val="008C6959"/>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Refdenotadefim">
    <w:name w:val="endnote reference"/>
    <w:basedOn w:val="Fontepargpadro"/>
    <w:uiPriority w:val="99"/>
    <w:semiHidden/>
    <w:unhideWhenUsed/>
    <w:locked/>
    <w:rsid w:val="000B215F"/>
    <w:rPr>
      <w:vertAlign w:val="superscript"/>
    </w:rPr>
  </w:style>
  <w:style w:type="character" w:styleId="TextodoEspaoReservado">
    <w:name w:val="Placeholder Text"/>
    <w:basedOn w:val="Fontepargpadro"/>
    <w:uiPriority w:val="99"/>
    <w:semiHidden/>
    <w:rsid w:val="00F9088B"/>
    <w:rPr>
      <w:color w:val="808080"/>
    </w:rPr>
  </w:style>
  <w:style w:type="paragraph" w:styleId="PargrafodaLista">
    <w:name w:val="List Paragraph"/>
    <w:aliases w:val="CITAÇÃO,Paragrafo,Lista Colorida - Ênfase 11"/>
    <w:basedOn w:val="Normal"/>
    <w:link w:val="PargrafodaListaChar"/>
    <w:uiPriority w:val="34"/>
    <w:qFormat/>
    <w:rsid w:val="00F9088B"/>
    <w:pPr>
      <w:ind w:left="720"/>
      <w:contextualSpacing/>
    </w:pPr>
  </w:style>
  <w:style w:type="character" w:customStyle="1" w:styleId="apple-converted-space">
    <w:name w:val="apple-converted-space"/>
    <w:basedOn w:val="Fontepargpadro"/>
    <w:rsid w:val="003D30EF"/>
  </w:style>
  <w:style w:type="paragraph" w:styleId="SemEspaamento">
    <w:name w:val="No Spacing"/>
    <w:link w:val="SemEspaamentoChar"/>
    <w:uiPriority w:val="1"/>
    <w:qFormat/>
    <w:rsid w:val="005C4419"/>
    <w:pPr>
      <w:jc w:val="center"/>
    </w:pPr>
    <w:rPr>
      <w:rFonts w:asciiTheme="minorHAnsi" w:eastAsiaTheme="minorEastAsia" w:hAnsiTheme="minorHAnsi" w:cstheme="minorBidi"/>
      <w:szCs w:val="22"/>
    </w:rPr>
  </w:style>
  <w:style w:type="character" w:customStyle="1" w:styleId="SemEspaamentoChar">
    <w:name w:val="Sem Espaçamento Char"/>
    <w:basedOn w:val="Fontepargpadro"/>
    <w:link w:val="SemEspaamento"/>
    <w:uiPriority w:val="1"/>
    <w:rsid w:val="005C4419"/>
    <w:rPr>
      <w:rFonts w:asciiTheme="minorHAnsi" w:eastAsiaTheme="minorEastAsia" w:hAnsiTheme="minorHAnsi" w:cstheme="minorBidi"/>
      <w:szCs w:val="22"/>
    </w:rPr>
  </w:style>
  <w:style w:type="paragraph" w:customStyle="1" w:styleId="Default">
    <w:name w:val="Default"/>
    <w:qFormat/>
    <w:rsid w:val="00786C81"/>
    <w:pPr>
      <w:autoSpaceDE w:val="0"/>
      <w:autoSpaceDN w:val="0"/>
      <w:adjustRightInd w:val="0"/>
    </w:pPr>
    <w:rPr>
      <w:rFonts w:ascii="Berthold Akzidenz Grotesk BE" w:eastAsia="Calibri" w:hAnsi="Berthold Akzidenz Grotesk BE" w:cs="Berthold Akzidenz Grotesk BE"/>
      <w:color w:val="000000"/>
      <w:sz w:val="24"/>
      <w:szCs w:val="24"/>
    </w:rPr>
  </w:style>
  <w:style w:type="paragraph" w:customStyle="1" w:styleId="Pa5">
    <w:name w:val="Pa5"/>
    <w:basedOn w:val="Default"/>
    <w:next w:val="Default"/>
    <w:uiPriority w:val="99"/>
    <w:rsid w:val="00786C81"/>
    <w:pPr>
      <w:spacing w:line="241" w:lineRule="atLeast"/>
    </w:pPr>
    <w:rPr>
      <w:rFonts w:cs="Times New Roman"/>
      <w:color w:val="auto"/>
    </w:rPr>
  </w:style>
  <w:style w:type="character" w:customStyle="1" w:styleId="A3">
    <w:name w:val="A3"/>
    <w:uiPriority w:val="99"/>
    <w:rsid w:val="00786C81"/>
    <w:rPr>
      <w:rFonts w:cs="Berthold Akzidenz Grotesk BE"/>
      <w:color w:val="000000"/>
      <w:sz w:val="18"/>
      <w:szCs w:val="18"/>
    </w:rPr>
  </w:style>
  <w:style w:type="table" w:customStyle="1" w:styleId="TabeladeGrade41">
    <w:name w:val="Tabela de Grade 41"/>
    <w:basedOn w:val="Tabelanormal"/>
    <w:uiPriority w:val="49"/>
    <w:rsid w:val="00786C81"/>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4-nfase11">
    <w:name w:val="Tabela de Grade 4 - Ênfase 11"/>
    <w:basedOn w:val="Tabelanormal"/>
    <w:uiPriority w:val="49"/>
    <w:rsid w:val="00786C81"/>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eladeGrade2-nfase11">
    <w:name w:val="Tabela de Grade 2 - Ênfase 11"/>
    <w:basedOn w:val="Tabelanormal"/>
    <w:uiPriority w:val="47"/>
    <w:rsid w:val="00786C81"/>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SombreamentoClaro-nfase1">
    <w:name w:val="Light Shading Accent 1"/>
    <w:basedOn w:val="Tabelanormal"/>
    <w:uiPriority w:val="30"/>
    <w:unhideWhenUsed/>
    <w:qFormat/>
    <w:rsid w:val="00007960"/>
    <w:rPr>
      <w:rFonts w:ascii="Calibri" w:eastAsia="Calibri" w:hAnsi="Calibri"/>
      <w:color w:val="365F91" w:themeColor="accent1" w:themeShade="BF"/>
      <w:lang w:eastAsia="en-US"/>
    </w:rPr>
    <w:tblPr>
      <w:tblStyleRowBandSize w:val="1"/>
      <w:tblStyleColBandSize w:val="1"/>
      <w:tblInd w:w="0" w:type="nil"/>
      <w:tblBorders>
        <w:top w:val="single" w:sz="8" w:space="0" w:color="4F81BD" w:themeColor="accent1"/>
        <w:bottom w:val="single" w:sz="8" w:space="0" w:color="4F81BD" w:themeColor="accent1"/>
      </w:tblBorders>
    </w:tblPr>
    <w:tblStylePr w:type="fir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eladeLista2-nfase11">
    <w:name w:val="Tabela de Lista 2 - Ênfase 11"/>
    <w:basedOn w:val="Tabelanormal"/>
    <w:uiPriority w:val="47"/>
    <w:rsid w:val="00007960"/>
    <w:rPr>
      <w:rFonts w:asciiTheme="minorHAnsi" w:eastAsiaTheme="minorHAnsi" w:hAnsiTheme="minorHAnsi" w:cstheme="minorBidi"/>
      <w:sz w:val="22"/>
      <w:szCs w:val="22"/>
      <w:lang w:eastAsia="en-US"/>
    </w:rPr>
    <w:tblPr>
      <w:tblStyleRowBandSize w:val="1"/>
      <w:tblStyleColBandSize w:val="1"/>
      <w:tblInd w:w="0" w:type="nil"/>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RefernciaIntensa">
    <w:name w:val="Intense Reference"/>
    <w:uiPriority w:val="32"/>
    <w:qFormat/>
    <w:rsid w:val="00007960"/>
    <w:rPr>
      <w:b/>
      <w:bCs w:val="0"/>
      <w:smallCaps/>
      <w:spacing w:val="5"/>
      <w:sz w:val="22"/>
      <w:u w:val="single"/>
    </w:rPr>
  </w:style>
  <w:style w:type="character" w:customStyle="1" w:styleId="TextodenotaderodapChar1">
    <w:name w:val="Texto de nota de rodapé Char1"/>
    <w:uiPriority w:val="99"/>
    <w:locked/>
    <w:rsid w:val="00007960"/>
    <w:rPr>
      <w:rFonts w:ascii="Calibri" w:hAnsi="Calibri"/>
      <w:lang w:val="en-US" w:eastAsia="en-US"/>
    </w:rPr>
  </w:style>
  <w:style w:type="paragraph" w:customStyle="1" w:styleId="wp-caption-text">
    <w:name w:val="wp-caption-text"/>
    <w:basedOn w:val="Normal"/>
    <w:rsid w:val="00E26642"/>
    <w:pPr>
      <w:tabs>
        <w:tab w:val="clear" w:pos="851"/>
      </w:tabs>
      <w:spacing w:before="100" w:beforeAutospacing="1" w:after="100" w:afterAutospacing="1" w:line="240" w:lineRule="auto"/>
      <w:jc w:val="left"/>
    </w:pPr>
    <w:rPr>
      <w:rFonts w:ascii="Times New Roman" w:hAnsi="Times New Roman"/>
      <w:lang w:eastAsia="pt-BR"/>
    </w:rPr>
  </w:style>
  <w:style w:type="character" w:customStyle="1" w:styleId="ilfuvd">
    <w:name w:val="ilfuvd"/>
    <w:basedOn w:val="Fontepargpadro"/>
    <w:rsid w:val="002E2905"/>
  </w:style>
  <w:style w:type="character" w:customStyle="1" w:styleId="fontstyle01">
    <w:name w:val="fontstyle01"/>
    <w:basedOn w:val="Fontepargpadro"/>
    <w:rsid w:val="00DD706D"/>
    <w:rPr>
      <w:rFonts w:ascii="TimesNewRomanPSMT" w:hAnsi="TimesNewRomanPSMT" w:hint="default"/>
      <w:b w:val="0"/>
      <w:bCs w:val="0"/>
      <w:i w:val="0"/>
      <w:iCs w:val="0"/>
      <w:color w:val="000000"/>
      <w:sz w:val="24"/>
      <w:szCs w:val="24"/>
    </w:rPr>
  </w:style>
  <w:style w:type="character" w:customStyle="1" w:styleId="fontstyle21">
    <w:name w:val="fontstyle21"/>
    <w:basedOn w:val="Fontepargpadro"/>
    <w:rsid w:val="00DD706D"/>
    <w:rPr>
      <w:rFonts w:ascii="TimesNewRomanPS-ItalicMT" w:hAnsi="TimesNewRomanPS-ItalicMT" w:hint="default"/>
      <w:b w:val="0"/>
      <w:bCs w:val="0"/>
      <w:i/>
      <w:iCs/>
      <w:color w:val="000000"/>
      <w:sz w:val="24"/>
      <w:szCs w:val="24"/>
    </w:rPr>
  </w:style>
  <w:style w:type="table" w:styleId="ListaClara-nfase1">
    <w:name w:val="Light List Accent 1"/>
    <w:basedOn w:val="Tabelanormal"/>
    <w:uiPriority w:val="61"/>
    <w:rsid w:val="0099583C"/>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rgrafodaListaChar">
    <w:name w:val="Parágrafo da Lista Char"/>
    <w:aliases w:val="CITAÇÃO Char,Paragrafo Char,Lista Colorida - Ênfase 11 Char"/>
    <w:link w:val="PargrafodaLista"/>
    <w:uiPriority w:val="34"/>
    <w:qFormat/>
    <w:rsid w:val="008A34BD"/>
    <w:rPr>
      <w:rFonts w:ascii="Arial" w:hAnsi="Arial"/>
      <w:sz w:val="24"/>
      <w:szCs w:val="24"/>
      <w:lang w:eastAsia="en-US"/>
    </w:rPr>
  </w:style>
  <w:style w:type="character" w:customStyle="1" w:styleId="zmsearchresult">
    <w:name w:val="zmsearchresult"/>
    <w:basedOn w:val="Fontepargpadro"/>
    <w:rsid w:val="00614D68"/>
  </w:style>
  <w:style w:type="paragraph" w:styleId="CabealhodoSumrio">
    <w:name w:val="TOC Heading"/>
    <w:basedOn w:val="Ttulo1"/>
    <w:next w:val="Normal"/>
    <w:uiPriority w:val="39"/>
    <w:unhideWhenUsed/>
    <w:qFormat/>
    <w:rsid w:val="00F40FC0"/>
    <w:pPr>
      <w:keepLines/>
      <w:pageBreakBefore w:val="0"/>
      <w:numPr>
        <w:numId w:val="0"/>
      </w:numPr>
      <w:spacing w:after="0" w:line="259" w:lineRule="auto"/>
      <w:jc w:val="left"/>
      <w:outlineLvl w:val="9"/>
    </w:pPr>
    <w:rPr>
      <w:rFonts w:asciiTheme="majorHAnsi" w:eastAsiaTheme="majorEastAsia" w:hAnsiTheme="majorHAnsi" w:cstheme="majorBidi"/>
      <w:b w:val="0"/>
      <w:bCs w:val="0"/>
      <w:caps/>
      <w:color w:val="365F91" w:themeColor="accent1" w:themeShade="BF"/>
      <w:kern w:val="0"/>
      <w:sz w:val="32"/>
      <w:szCs w:val="32"/>
      <w:lang w:eastAsia="pt-BR"/>
    </w:rPr>
  </w:style>
  <w:style w:type="paragraph" w:customStyle="1" w:styleId="textbody">
    <w:name w:val="textbody"/>
    <w:basedOn w:val="Normal"/>
    <w:rsid w:val="00611A3C"/>
    <w:pPr>
      <w:tabs>
        <w:tab w:val="clear" w:pos="851"/>
      </w:tabs>
      <w:spacing w:before="100" w:beforeAutospacing="1" w:after="100" w:afterAutospacing="1" w:line="240" w:lineRule="auto"/>
      <w:jc w:val="left"/>
    </w:pPr>
    <w:rPr>
      <w:rFonts w:ascii="Times New Roman" w:hAnsi="Times New Roman"/>
      <w:lang w:eastAsia="pt-BR"/>
    </w:rPr>
  </w:style>
  <w:style w:type="paragraph" w:styleId="Reviso">
    <w:name w:val="Revision"/>
    <w:hidden/>
    <w:uiPriority w:val="99"/>
    <w:semiHidden/>
    <w:rsid w:val="00F65EC7"/>
    <w:rPr>
      <w:rFonts w:ascii="Arial" w:hAnsi="Arial"/>
      <w:sz w:val="24"/>
      <w:szCs w:val="24"/>
      <w:lang w:eastAsia="en-US"/>
    </w:rPr>
  </w:style>
  <w:style w:type="character" w:customStyle="1" w:styleId="ui-provider">
    <w:name w:val="ui-provider"/>
    <w:basedOn w:val="Fontepargpadro"/>
    <w:rsid w:val="00C64659"/>
  </w:style>
  <w:style w:type="character" w:customStyle="1" w:styleId="CorpodetextoChar1">
    <w:name w:val="Corpo de texto Char1"/>
    <w:uiPriority w:val="99"/>
    <w:locked/>
    <w:rsid w:val="003E0246"/>
    <w:rPr>
      <w:rFonts w:ascii="Times New Roman" w:eastAsia="Times New Roman" w:hAnsi="Times New Roman" w:cs="Times New Roman"/>
      <w:lang w:eastAsia="pt-BR"/>
    </w:rPr>
  </w:style>
  <w:style w:type="table" w:styleId="TabeladeGrade6Colorida-nfase1">
    <w:name w:val="Grid Table 6 Colorful Accent 1"/>
    <w:basedOn w:val="Tabelanormal"/>
    <w:uiPriority w:val="51"/>
    <w:rsid w:val="003E0246"/>
    <w:rPr>
      <w:rFonts w:asciiTheme="minorHAnsi" w:eastAsiaTheme="minorHAnsi" w:hAnsiTheme="minorHAnsi" w:cstheme="minorBidi"/>
      <w:color w:val="365F91" w:themeColor="accent1" w:themeShade="BF"/>
      <w:sz w:val="22"/>
      <w:szCs w:val="22"/>
      <w:lang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deLista2-nfase1">
    <w:name w:val="List Table 2 Accent 1"/>
    <w:basedOn w:val="Tabelanormal"/>
    <w:uiPriority w:val="47"/>
    <w:rsid w:val="003E0246"/>
    <w:rPr>
      <w:rFonts w:asciiTheme="minorHAnsi" w:eastAsiaTheme="minorHAnsi" w:hAnsiTheme="minorHAnsi" w:cstheme="minorBidi"/>
      <w:sz w:val="22"/>
      <w:szCs w:val="22"/>
      <w:lang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deLista1Clara-nfase1">
    <w:name w:val="List Table 1 Light Accent 1"/>
    <w:basedOn w:val="Tabelanormal"/>
    <w:uiPriority w:val="46"/>
    <w:rsid w:val="003E0246"/>
    <w:rPr>
      <w:rFonts w:asciiTheme="minorHAnsi" w:eastAsiaTheme="minorHAnsi" w:hAnsiTheme="minorHAnsi" w:cstheme="minorBidi"/>
      <w:sz w:val="22"/>
      <w:szCs w:val="22"/>
      <w:lang w:eastAsia="en-US"/>
    </w:rPr>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3072">
      <w:bodyDiv w:val="1"/>
      <w:marLeft w:val="0"/>
      <w:marRight w:val="0"/>
      <w:marTop w:val="0"/>
      <w:marBottom w:val="0"/>
      <w:divBdr>
        <w:top w:val="none" w:sz="0" w:space="0" w:color="auto"/>
        <w:left w:val="none" w:sz="0" w:space="0" w:color="auto"/>
        <w:bottom w:val="none" w:sz="0" w:space="0" w:color="auto"/>
        <w:right w:val="none" w:sz="0" w:space="0" w:color="auto"/>
      </w:divBdr>
      <w:divsChild>
        <w:div w:id="1500927415">
          <w:marLeft w:val="547"/>
          <w:marRight w:val="0"/>
          <w:marTop w:val="0"/>
          <w:marBottom w:val="0"/>
          <w:divBdr>
            <w:top w:val="none" w:sz="0" w:space="0" w:color="auto"/>
            <w:left w:val="none" w:sz="0" w:space="0" w:color="auto"/>
            <w:bottom w:val="none" w:sz="0" w:space="0" w:color="auto"/>
            <w:right w:val="none" w:sz="0" w:space="0" w:color="auto"/>
          </w:divBdr>
        </w:div>
        <w:div w:id="1509176017">
          <w:marLeft w:val="547"/>
          <w:marRight w:val="0"/>
          <w:marTop w:val="0"/>
          <w:marBottom w:val="0"/>
          <w:divBdr>
            <w:top w:val="none" w:sz="0" w:space="0" w:color="auto"/>
            <w:left w:val="none" w:sz="0" w:space="0" w:color="auto"/>
            <w:bottom w:val="none" w:sz="0" w:space="0" w:color="auto"/>
            <w:right w:val="none" w:sz="0" w:space="0" w:color="auto"/>
          </w:divBdr>
        </w:div>
        <w:div w:id="1756048418">
          <w:marLeft w:val="547"/>
          <w:marRight w:val="0"/>
          <w:marTop w:val="0"/>
          <w:marBottom w:val="0"/>
          <w:divBdr>
            <w:top w:val="none" w:sz="0" w:space="0" w:color="auto"/>
            <w:left w:val="none" w:sz="0" w:space="0" w:color="auto"/>
            <w:bottom w:val="none" w:sz="0" w:space="0" w:color="auto"/>
            <w:right w:val="none" w:sz="0" w:space="0" w:color="auto"/>
          </w:divBdr>
        </w:div>
        <w:div w:id="1773161490">
          <w:marLeft w:val="547"/>
          <w:marRight w:val="0"/>
          <w:marTop w:val="0"/>
          <w:marBottom w:val="0"/>
          <w:divBdr>
            <w:top w:val="none" w:sz="0" w:space="0" w:color="auto"/>
            <w:left w:val="none" w:sz="0" w:space="0" w:color="auto"/>
            <w:bottom w:val="none" w:sz="0" w:space="0" w:color="auto"/>
            <w:right w:val="none" w:sz="0" w:space="0" w:color="auto"/>
          </w:divBdr>
        </w:div>
      </w:divsChild>
    </w:div>
    <w:div w:id="12611128">
      <w:bodyDiv w:val="1"/>
      <w:marLeft w:val="0"/>
      <w:marRight w:val="0"/>
      <w:marTop w:val="0"/>
      <w:marBottom w:val="0"/>
      <w:divBdr>
        <w:top w:val="none" w:sz="0" w:space="0" w:color="auto"/>
        <w:left w:val="none" w:sz="0" w:space="0" w:color="auto"/>
        <w:bottom w:val="none" w:sz="0" w:space="0" w:color="auto"/>
        <w:right w:val="none" w:sz="0" w:space="0" w:color="auto"/>
      </w:divBdr>
    </w:div>
    <w:div w:id="27924244">
      <w:bodyDiv w:val="1"/>
      <w:marLeft w:val="0"/>
      <w:marRight w:val="0"/>
      <w:marTop w:val="0"/>
      <w:marBottom w:val="0"/>
      <w:divBdr>
        <w:top w:val="none" w:sz="0" w:space="0" w:color="auto"/>
        <w:left w:val="none" w:sz="0" w:space="0" w:color="auto"/>
        <w:bottom w:val="none" w:sz="0" w:space="0" w:color="auto"/>
        <w:right w:val="none" w:sz="0" w:space="0" w:color="auto"/>
      </w:divBdr>
    </w:div>
    <w:div w:id="32316042">
      <w:bodyDiv w:val="1"/>
      <w:marLeft w:val="0"/>
      <w:marRight w:val="0"/>
      <w:marTop w:val="0"/>
      <w:marBottom w:val="0"/>
      <w:divBdr>
        <w:top w:val="none" w:sz="0" w:space="0" w:color="auto"/>
        <w:left w:val="none" w:sz="0" w:space="0" w:color="auto"/>
        <w:bottom w:val="none" w:sz="0" w:space="0" w:color="auto"/>
        <w:right w:val="none" w:sz="0" w:space="0" w:color="auto"/>
      </w:divBdr>
    </w:div>
    <w:div w:id="38240166">
      <w:bodyDiv w:val="1"/>
      <w:marLeft w:val="0"/>
      <w:marRight w:val="0"/>
      <w:marTop w:val="0"/>
      <w:marBottom w:val="0"/>
      <w:divBdr>
        <w:top w:val="none" w:sz="0" w:space="0" w:color="auto"/>
        <w:left w:val="none" w:sz="0" w:space="0" w:color="auto"/>
        <w:bottom w:val="none" w:sz="0" w:space="0" w:color="auto"/>
        <w:right w:val="none" w:sz="0" w:space="0" w:color="auto"/>
      </w:divBdr>
    </w:div>
    <w:div w:id="60913234">
      <w:bodyDiv w:val="1"/>
      <w:marLeft w:val="0"/>
      <w:marRight w:val="0"/>
      <w:marTop w:val="0"/>
      <w:marBottom w:val="0"/>
      <w:divBdr>
        <w:top w:val="none" w:sz="0" w:space="0" w:color="auto"/>
        <w:left w:val="none" w:sz="0" w:space="0" w:color="auto"/>
        <w:bottom w:val="none" w:sz="0" w:space="0" w:color="auto"/>
        <w:right w:val="none" w:sz="0" w:space="0" w:color="auto"/>
      </w:divBdr>
    </w:div>
    <w:div w:id="62601504">
      <w:bodyDiv w:val="1"/>
      <w:marLeft w:val="0"/>
      <w:marRight w:val="0"/>
      <w:marTop w:val="0"/>
      <w:marBottom w:val="0"/>
      <w:divBdr>
        <w:top w:val="none" w:sz="0" w:space="0" w:color="auto"/>
        <w:left w:val="none" w:sz="0" w:space="0" w:color="auto"/>
        <w:bottom w:val="none" w:sz="0" w:space="0" w:color="auto"/>
        <w:right w:val="none" w:sz="0" w:space="0" w:color="auto"/>
      </w:divBdr>
    </w:div>
    <w:div w:id="63140854">
      <w:bodyDiv w:val="1"/>
      <w:marLeft w:val="0"/>
      <w:marRight w:val="0"/>
      <w:marTop w:val="0"/>
      <w:marBottom w:val="0"/>
      <w:divBdr>
        <w:top w:val="none" w:sz="0" w:space="0" w:color="auto"/>
        <w:left w:val="none" w:sz="0" w:space="0" w:color="auto"/>
        <w:bottom w:val="none" w:sz="0" w:space="0" w:color="auto"/>
        <w:right w:val="none" w:sz="0" w:space="0" w:color="auto"/>
      </w:divBdr>
      <w:divsChild>
        <w:div w:id="2131895011">
          <w:marLeft w:val="0"/>
          <w:marRight w:val="0"/>
          <w:marTop w:val="0"/>
          <w:marBottom w:val="0"/>
          <w:divBdr>
            <w:top w:val="none" w:sz="0" w:space="0" w:color="auto"/>
            <w:left w:val="none" w:sz="0" w:space="0" w:color="auto"/>
            <w:bottom w:val="none" w:sz="0" w:space="0" w:color="auto"/>
            <w:right w:val="none" w:sz="0" w:space="0" w:color="auto"/>
          </w:divBdr>
        </w:div>
      </w:divsChild>
    </w:div>
    <w:div w:id="80377341">
      <w:bodyDiv w:val="1"/>
      <w:marLeft w:val="0"/>
      <w:marRight w:val="0"/>
      <w:marTop w:val="0"/>
      <w:marBottom w:val="0"/>
      <w:divBdr>
        <w:top w:val="none" w:sz="0" w:space="0" w:color="auto"/>
        <w:left w:val="none" w:sz="0" w:space="0" w:color="auto"/>
        <w:bottom w:val="none" w:sz="0" w:space="0" w:color="auto"/>
        <w:right w:val="none" w:sz="0" w:space="0" w:color="auto"/>
      </w:divBdr>
    </w:div>
    <w:div w:id="84694585">
      <w:bodyDiv w:val="1"/>
      <w:marLeft w:val="0"/>
      <w:marRight w:val="0"/>
      <w:marTop w:val="0"/>
      <w:marBottom w:val="0"/>
      <w:divBdr>
        <w:top w:val="none" w:sz="0" w:space="0" w:color="auto"/>
        <w:left w:val="none" w:sz="0" w:space="0" w:color="auto"/>
        <w:bottom w:val="none" w:sz="0" w:space="0" w:color="auto"/>
        <w:right w:val="none" w:sz="0" w:space="0" w:color="auto"/>
      </w:divBdr>
    </w:div>
    <w:div w:id="84765428">
      <w:bodyDiv w:val="1"/>
      <w:marLeft w:val="0"/>
      <w:marRight w:val="0"/>
      <w:marTop w:val="0"/>
      <w:marBottom w:val="0"/>
      <w:divBdr>
        <w:top w:val="none" w:sz="0" w:space="0" w:color="auto"/>
        <w:left w:val="none" w:sz="0" w:space="0" w:color="auto"/>
        <w:bottom w:val="none" w:sz="0" w:space="0" w:color="auto"/>
        <w:right w:val="none" w:sz="0" w:space="0" w:color="auto"/>
      </w:divBdr>
    </w:div>
    <w:div w:id="85346837">
      <w:bodyDiv w:val="1"/>
      <w:marLeft w:val="0"/>
      <w:marRight w:val="0"/>
      <w:marTop w:val="0"/>
      <w:marBottom w:val="0"/>
      <w:divBdr>
        <w:top w:val="none" w:sz="0" w:space="0" w:color="auto"/>
        <w:left w:val="none" w:sz="0" w:space="0" w:color="auto"/>
        <w:bottom w:val="none" w:sz="0" w:space="0" w:color="auto"/>
        <w:right w:val="none" w:sz="0" w:space="0" w:color="auto"/>
      </w:divBdr>
    </w:div>
    <w:div w:id="93482277">
      <w:bodyDiv w:val="1"/>
      <w:marLeft w:val="0"/>
      <w:marRight w:val="0"/>
      <w:marTop w:val="0"/>
      <w:marBottom w:val="0"/>
      <w:divBdr>
        <w:top w:val="none" w:sz="0" w:space="0" w:color="auto"/>
        <w:left w:val="none" w:sz="0" w:space="0" w:color="auto"/>
        <w:bottom w:val="none" w:sz="0" w:space="0" w:color="auto"/>
        <w:right w:val="none" w:sz="0" w:space="0" w:color="auto"/>
      </w:divBdr>
    </w:div>
    <w:div w:id="95950310">
      <w:bodyDiv w:val="1"/>
      <w:marLeft w:val="0"/>
      <w:marRight w:val="0"/>
      <w:marTop w:val="0"/>
      <w:marBottom w:val="0"/>
      <w:divBdr>
        <w:top w:val="none" w:sz="0" w:space="0" w:color="auto"/>
        <w:left w:val="none" w:sz="0" w:space="0" w:color="auto"/>
        <w:bottom w:val="none" w:sz="0" w:space="0" w:color="auto"/>
        <w:right w:val="none" w:sz="0" w:space="0" w:color="auto"/>
      </w:divBdr>
    </w:div>
    <w:div w:id="99885003">
      <w:bodyDiv w:val="1"/>
      <w:marLeft w:val="0"/>
      <w:marRight w:val="0"/>
      <w:marTop w:val="0"/>
      <w:marBottom w:val="0"/>
      <w:divBdr>
        <w:top w:val="none" w:sz="0" w:space="0" w:color="auto"/>
        <w:left w:val="none" w:sz="0" w:space="0" w:color="auto"/>
        <w:bottom w:val="none" w:sz="0" w:space="0" w:color="auto"/>
        <w:right w:val="none" w:sz="0" w:space="0" w:color="auto"/>
      </w:divBdr>
    </w:div>
    <w:div w:id="111291756">
      <w:bodyDiv w:val="1"/>
      <w:marLeft w:val="0"/>
      <w:marRight w:val="0"/>
      <w:marTop w:val="0"/>
      <w:marBottom w:val="0"/>
      <w:divBdr>
        <w:top w:val="none" w:sz="0" w:space="0" w:color="auto"/>
        <w:left w:val="none" w:sz="0" w:space="0" w:color="auto"/>
        <w:bottom w:val="none" w:sz="0" w:space="0" w:color="auto"/>
        <w:right w:val="none" w:sz="0" w:space="0" w:color="auto"/>
      </w:divBdr>
    </w:div>
    <w:div w:id="147481767">
      <w:bodyDiv w:val="1"/>
      <w:marLeft w:val="0"/>
      <w:marRight w:val="0"/>
      <w:marTop w:val="0"/>
      <w:marBottom w:val="0"/>
      <w:divBdr>
        <w:top w:val="none" w:sz="0" w:space="0" w:color="auto"/>
        <w:left w:val="none" w:sz="0" w:space="0" w:color="auto"/>
        <w:bottom w:val="none" w:sz="0" w:space="0" w:color="auto"/>
        <w:right w:val="none" w:sz="0" w:space="0" w:color="auto"/>
      </w:divBdr>
    </w:div>
    <w:div w:id="226427979">
      <w:bodyDiv w:val="1"/>
      <w:marLeft w:val="0"/>
      <w:marRight w:val="0"/>
      <w:marTop w:val="0"/>
      <w:marBottom w:val="0"/>
      <w:divBdr>
        <w:top w:val="none" w:sz="0" w:space="0" w:color="auto"/>
        <w:left w:val="none" w:sz="0" w:space="0" w:color="auto"/>
        <w:bottom w:val="none" w:sz="0" w:space="0" w:color="auto"/>
        <w:right w:val="none" w:sz="0" w:space="0" w:color="auto"/>
      </w:divBdr>
    </w:div>
    <w:div w:id="244531693">
      <w:bodyDiv w:val="1"/>
      <w:marLeft w:val="0"/>
      <w:marRight w:val="0"/>
      <w:marTop w:val="0"/>
      <w:marBottom w:val="0"/>
      <w:divBdr>
        <w:top w:val="none" w:sz="0" w:space="0" w:color="auto"/>
        <w:left w:val="none" w:sz="0" w:space="0" w:color="auto"/>
        <w:bottom w:val="none" w:sz="0" w:space="0" w:color="auto"/>
        <w:right w:val="none" w:sz="0" w:space="0" w:color="auto"/>
      </w:divBdr>
    </w:div>
    <w:div w:id="244536695">
      <w:bodyDiv w:val="1"/>
      <w:marLeft w:val="0"/>
      <w:marRight w:val="0"/>
      <w:marTop w:val="0"/>
      <w:marBottom w:val="0"/>
      <w:divBdr>
        <w:top w:val="none" w:sz="0" w:space="0" w:color="auto"/>
        <w:left w:val="none" w:sz="0" w:space="0" w:color="auto"/>
        <w:bottom w:val="none" w:sz="0" w:space="0" w:color="auto"/>
        <w:right w:val="none" w:sz="0" w:space="0" w:color="auto"/>
      </w:divBdr>
      <w:divsChild>
        <w:div w:id="424882416">
          <w:marLeft w:val="0"/>
          <w:marRight w:val="0"/>
          <w:marTop w:val="0"/>
          <w:marBottom w:val="0"/>
          <w:divBdr>
            <w:top w:val="none" w:sz="0" w:space="0" w:color="auto"/>
            <w:left w:val="none" w:sz="0" w:space="0" w:color="auto"/>
            <w:bottom w:val="none" w:sz="0" w:space="0" w:color="auto"/>
            <w:right w:val="none" w:sz="0" w:space="0" w:color="auto"/>
          </w:divBdr>
        </w:div>
        <w:div w:id="926964356">
          <w:marLeft w:val="0"/>
          <w:marRight w:val="0"/>
          <w:marTop w:val="0"/>
          <w:marBottom w:val="0"/>
          <w:divBdr>
            <w:top w:val="none" w:sz="0" w:space="0" w:color="auto"/>
            <w:left w:val="none" w:sz="0" w:space="0" w:color="auto"/>
            <w:bottom w:val="none" w:sz="0" w:space="0" w:color="auto"/>
            <w:right w:val="none" w:sz="0" w:space="0" w:color="auto"/>
          </w:divBdr>
        </w:div>
        <w:div w:id="1391467226">
          <w:marLeft w:val="0"/>
          <w:marRight w:val="0"/>
          <w:marTop w:val="0"/>
          <w:marBottom w:val="0"/>
          <w:divBdr>
            <w:top w:val="none" w:sz="0" w:space="0" w:color="auto"/>
            <w:left w:val="none" w:sz="0" w:space="0" w:color="auto"/>
            <w:bottom w:val="none" w:sz="0" w:space="0" w:color="auto"/>
            <w:right w:val="none" w:sz="0" w:space="0" w:color="auto"/>
          </w:divBdr>
        </w:div>
        <w:div w:id="1957523786">
          <w:marLeft w:val="0"/>
          <w:marRight w:val="0"/>
          <w:marTop w:val="0"/>
          <w:marBottom w:val="0"/>
          <w:divBdr>
            <w:top w:val="none" w:sz="0" w:space="0" w:color="auto"/>
            <w:left w:val="none" w:sz="0" w:space="0" w:color="auto"/>
            <w:bottom w:val="none" w:sz="0" w:space="0" w:color="auto"/>
            <w:right w:val="none" w:sz="0" w:space="0" w:color="auto"/>
          </w:divBdr>
        </w:div>
      </w:divsChild>
    </w:div>
    <w:div w:id="258217115">
      <w:bodyDiv w:val="1"/>
      <w:marLeft w:val="0"/>
      <w:marRight w:val="0"/>
      <w:marTop w:val="0"/>
      <w:marBottom w:val="0"/>
      <w:divBdr>
        <w:top w:val="none" w:sz="0" w:space="0" w:color="auto"/>
        <w:left w:val="none" w:sz="0" w:space="0" w:color="auto"/>
        <w:bottom w:val="none" w:sz="0" w:space="0" w:color="auto"/>
        <w:right w:val="none" w:sz="0" w:space="0" w:color="auto"/>
      </w:divBdr>
    </w:div>
    <w:div w:id="265581108">
      <w:bodyDiv w:val="1"/>
      <w:marLeft w:val="0"/>
      <w:marRight w:val="0"/>
      <w:marTop w:val="0"/>
      <w:marBottom w:val="0"/>
      <w:divBdr>
        <w:top w:val="none" w:sz="0" w:space="0" w:color="auto"/>
        <w:left w:val="none" w:sz="0" w:space="0" w:color="auto"/>
        <w:bottom w:val="none" w:sz="0" w:space="0" w:color="auto"/>
        <w:right w:val="none" w:sz="0" w:space="0" w:color="auto"/>
      </w:divBdr>
    </w:div>
    <w:div w:id="316080176">
      <w:bodyDiv w:val="1"/>
      <w:marLeft w:val="0"/>
      <w:marRight w:val="0"/>
      <w:marTop w:val="0"/>
      <w:marBottom w:val="0"/>
      <w:divBdr>
        <w:top w:val="none" w:sz="0" w:space="0" w:color="auto"/>
        <w:left w:val="none" w:sz="0" w:space="0" w:color="auto"/>
        <w:bottom w:val="none" w:sz="0" w:space="0" w:color="auto"/>
        <w:right w:val="none" w:sz="0" w:space="0" w:color="auto"/>
      </w:divBdr>
    </w:div>
    <w:div w:id="323556787">
      <w:bodyDiv w:val="1"/>
      <w:marLeft w:val="0"/>
      <w:marRight w:val="0"/>
      <w:marTop w:val="0"/>
      <w:marBottom w:val="0"/>
      <w:divBdr>
        <w:top w:val="none" w:sz="0" w:space="0" w:color="auto"/>
        <w:left w:val="none" w:sz="0" w:space="0" w:color="auto"/>
        <w:bottom w:val="none" w:sz="0" w:space="0" w:color="auto"/>
        <w:right w:val="none" w:sz="0" w:space="0" w:color="auto"/>
      </w:divBdr>
    </w:div>
    <w:div w:id="326976432">
      <w:bodyDiv w:val="1"/>
      <w:marLeft w:val="0"/>
      <w:marRight w:val="0"/>
      <w:marTop w:val="0"/>
      <w:marBottom w:val="0"/>
      <w:divBdr>
        <w:top w:val="none" w:sz="0" w:space="0" w:color="auto"/>
        <w:left w:val="none" w:sz="0" w:space="0" w:color="auto"/>
        <w:bottom w:val="none" w:sz="0" w:space="0" w:color="auto"/>
        <w:right w:val="none" w:sz="0" w:space="0" w:color="auto"/>
      </w:divBdr>
      <w:divsChild>
        <w:div w:id="716398040">
          <w:marLeft w:val="0"/>
          <w:marRight w:val="0"/>
          <w:marTop w:val="0"/>
          <w:marBottom w:val="0"/>
          <w:divBdr>
            <w:top w:val="none" w:sz="0" w:space="0" w:color="auto"/>
            <w:left w:val="none" w:sz="0" w:space="0" w:color="auto"/>
            <w:bottom w:val="none" w:sz="0" w:space="0" w:color="auto"/>
            <w:right w:val="none" w:sz="0" w:space="0" w:color="auto"/>
          </w:divBdr>
        </w:div>
        <w:div w:id="1493451183">
          <w:marLeft w:val="0"/>
          <w:marRight w:val="0"/>
          <w:marTop w:val="0"/>
          <w:marBottom w:val="0"/>
          <w:divBdr>
            <w:top w:val="none" w:sz="0" w:space="0" w:color="auto"/>
            <w:left w:val="none" w:sz="0" w:space="0" w:color="auto"/>
            <w:bottom w:val="none" w:sz="0" w:space="0" w:color="auto"/>
            <w:right w:val="none" w:sz="0" w:space="0" w:color="auto"/>
          </w:divBdr>
        </w:div>
        <w:div w:id="1795783279">
          <w:marLeft w:val="0"/>
          <w:marRight w:val="0"/>
          <w:marTop w:val="0"/>
          <w:marBottom w:val="0"/>
          <w:divBdr>
            <w:top w:val="none" w:sz="0" w:space="0" w:color="auto"/>
            <w:left w:val="none" w:sz="0" w:space="0" w:color="auto"/>
            <w:bottom w:val="none" w:sz="0" w:space="0" w:color="auto"/>
            <w:right w:val="none" w:sz="0" w:space="0" w:color="auto"/>
          </w:divBdr>
        </w:div>
      </w:divsChild>
    </w:div>
    <w:div w:id="342247963">
      <w:bodyDiv w:val="1"/>
      <w:marLeft w:val="0"/>
      <w:marRight w:val="0"/>
      <w:marTop w:val="0"/>
      <w:marBottom w:val="0"/>
      <w:divBdr>
        <w:top w:val="none" w:sz="0" w:space="0" w:color="auto"/>
        <w:left w:val="none" w:sz="0" w:space="0" w:color="auto"/>
        <w:bottom w:val="none" w:sz="0" w:space="0" w:color="auto"/>
        <w:right w:val="none" w:sz="0" w:space="0" w:color="auto"/>
      </w:divBdr>
    </w:div>
    <w:div w:id="381750793">
      <w:bodyDiv w:val="1"/>
      <w:marLeft w:val="0"/>
      <w:marRight w:val="0"/>
      <w:marTop w:val="0"/>
      <w:marBottom w:val="0"/>
      <w:divBdr>
        <w:top w:val="none" w:sz="0" w:space="0" w:color="auto"/>
        <w:left w:val="none" w:sz="0" w:space="0" w:color="auto"/>
        <w:bottom w:val="none" w:sz="0" w:space="0" w:color="auto"/>
        <w:right w:val="none" w:sz="0" w:space="0" w:color="auto"/>
      </w:divBdr>
      <w:divsChild>
        <w:div w:id="1933053224">
          <w:marLeft w:val="0"/>
          <w:marRight w:val="0"/>
          <w:marTop w:val="0"/>
          <w:marBottom w:val="0"/>
          <w:divBdr>
            <w:top w:val="none" w:sz="0" w:space="0" w:color="auto"/>
            <w:left w:val="none" w:sz="0" w:space="0" w:color="auto"/>
            <w:bottom w:val="none" w:sz="0" w:space="0" w:color="auto"/>
            <w:right w:val="none" w:sz="0" w:space="0" w:color="auto"/>
          </w:divBdr>
        </w:div>
      </w:divsChild>
    </w:div>
    <w:div w:id="395473025">
      <w:bodyDiv w:val="1"/>
      <w:marLeft w:val="0"/>
      <w:marRight w:val="0"/>
      <w:marTop w:val="0"/>
      <w:marBottom w:val="0"/>
      <w:divBdr>
        <w:top w:val="none" w:sz="0" w:space="0" w:color="auto"/>
        <w:left w:val="none" w:sz="0" w:space="0" w:color="auto"/>
        <w:bottom w:val="none" w:sz="0" w:space="0" w:color="auto"/>
        <w:right w:val="none" w:sz="0" w:space="0" w:color="auto"/>
      </w:divBdr>
    </w:div>
    <w:div w:id="416946954">
      <w:bodyDiv w:val="1"/>
      <w:marLeft w:val="0"/>
      <w:marRight w:val="0"/>
      <w:marTop w:val="0"/>
      <w:marBottom w:val="0"/>
      <w:divBdr>
        <w:top w:val="none" w:sz="0" w:space="0" w:color="auto"/>
        <w:left w:val="none" w:sz="0" w:space="0" w:color="auto"/>
        <w:bottom w:val="none" w:sz="0" w:space="0" w:color="auto"/>
        <w:right w:val="none" w:sz="0" w:space="0" w:color="auto"/>
      </w:divBdr>
    </w:div>
    <w:div w:id="422918399">
      <w:bodyDiv w:val="1"/>
      <w:marLeft w:val="0"/>
      <w:marRight w:val="0"/>
      <w:marTop w:val="0"/>
      <w:marBottom w:val="0"/>
      <w:divBdr>
        <w:top w:val="none" w:sz="0" w:space="0" w:color="auto"/>
        <w:left w:val="none" w:sz="0" w:space="0" w:color="auto"/>
        <w:bottom w:val="none" w:sz="0" w:space="0" w:color="auto"/>
        <w:right w:val="none" w:sz="0" w:space="0" w:color="auto"/>
      </w:divBdr>
    </w:div>
    <w:div w:id="437604885">
      <w:bodyDiv w:val="1"/>
      <w:marLeft w:val="0"/>
      <w:marRight w:val="0"/>
      <w:marTop w:val="0"/>
      <w:marBottom w:val="0"/>
      <w:divBdr>
        <w:top w:val="none" w:sz="0" w:space="0" w:color="auto"/>
        <w:left w:val="none" w:sz="0" w:space="0" w:color="auto"/>
        <w:bottom w:val="none" w:sz="0" w:space="0" w:color="auto"/>
        <w:right w:val="none" w:sz="0" w:space="0" w:color="auto"/>
      </w:divBdr>
    </w:div>
    <w:div w:id="438182181">
      <w:bodyDiv w:val="1"/>
      <w:marLeft w:val="0"/>
      <w:marRight w:val="0"/>
      <w:marTop w:val="0"/>
      <w:marBottom w:val="0"/>
      <w:divBdr>
        <w:top w:val="none" w:sz="0" w:space="0" w:color="auto"/>
        <w:left w:val="none" w:sz="0" w:space="0" w:color="auto"/>
        <w:bottom w:val="none" w:sz="0" w:space="0" w:color="auto"/>
        <w:right w:val="none" w:sz="0" w:space="0" w:color="auto"/>
      </w:divBdr>
    </w:div>
    <w:div w:id="446580215">
      <w:bodyDiv w:val="1"/>
      <w:marLeft w:val="0"/>
      <w:marRight w:val="0"/>
      <w:marTop w:val="0"/>
      <w:marBottom w:val="0"/>
      <w:divBdr>
        <w:top w:val="none" w:sz="0" w:space="0" w:color="auto"/>
        <w:left w:val="none" w:sz="0" w:space="0" w:color="auto"/>
        <w:bottom w:val="none" w:sz="0" w:space="0" w:color="auto"/>
        <w:right w:val="none" w:sz="0" w:space="0" w:color="auto"/>
      </w:divBdr>
    </w:div>
    <w:div w:id="455103954">
      <w:bodyDiv w:val="1"/>
      <w:marLeft w:val="0"/>
      <w:marRight w:val="0"/>
      <w:marTop w:val="0"/>
      <w:marBottom w:val="0"/>
      <w:divBdr>
        <w:top w:val="none" w:sz="0" w:space="0" w:color="auto"/>
        <w:left w:val="none" w:sz="0" w:space="0" w:color="auto"/>
        <w:bottom w:val="none" w:sz="0" w:space="0" w:color="auto"/>
        <w:right w:val="none" w:sz="0" w:space="0" w:color="auto"/>
      </w:divBdr>
    </w:div>
    <w:div w:id="461266380">
      <w:bodyDiv w:val="1"/>
      <w:marLeft w:val="0"/>
      <w:marRight w:val="0"/>
      <w:marTop w:val="0"/>
      <w:marBottom w:val="0"/>
      <w:divBdr>
        <w:top w:val="none" w:sz="0" w:space="0" w:color="auto"/>
        <w:left w:val="none" w:sz="0" w:space="0" w:color="auto"/>
        <w:bottom w:val="none" w:sz="0" w:space="0" w:color="auto"/>
        <w:right w:val="none" w:sz="0" w:space="0" w:color="auto"/>
      </w:divBdr>
    </w:div>
    <w:div w:id="473255073">
      <w:bodyDiv w:val="1"/>
      <w:marLeft w:val="0"/>
      <w:marRight w:val="0"/>
      <w:marTop w:val="0"/>
      <w:marBottom w:val="0"/>
      <w:divBdr>
        <w:top w:val="none" w:sz="0" w:space="0" w:color="auto"/>
        <w:left w:val="none" w:sz="0" w:space="0" w:color="auto"/>
        <w:bottom w:val="none" w:sz="0" w:space="0" w:color="auto"/>
        <w:right w:val="none" w:sz="0" w:space="0" w:color="auto"/>
      </w:divBdr>
    </w:div>
    <w:div w:id="477890985">
      <w:bodyDiv w:val="1"/>
      <w:marLeft w:val="0"/>
      <w:marRight w:val="0"/>
      <w:marTop w:val="0"/>
      <w:marBottom w:val="0"/>
      <w:divBdr>
        <w:top w:val="none" w:sz="0" w:space="0" w:color="auto"/>
        <w:left w:val="none" w:sz="0" w:space="0" w:color="auto"/>
        <w:bottom w:val="none" w:sz="0" w:space="0" w:color="auto"/>
        <w:right w:val="none" w:sz="0" w:space="0" w:color="auto"/>
      </w:divBdr>
    </w:div>
    <w:div w:id="479421523">
      <w:bodyDiv w:val="1"/>
      <w:marLeft w:val="0"/>
      <w:marRight w:val="0"/>
      <w:marTop w:val="0"/>
      <w:marBottom w:val="0"/>
      <w:divBdr>
        <w:top w:val="none" w:sz="0" w:space="0" w:color="auto"/>
        <w:left w:val="none" w:sz="0" w:space="0" w:color="auto"/>
        <w:bottom w:val="none" w:sz="0" w:space="0" w:color="auto"/>
        <w:right w:val="none" w:sz="0" w:space="0" w:color="auto"/>
      </w:divBdr>
    </w:div>
    <w:div w:id="480924965">
      <w:bodyDiv w:val="1"/>
      <w:marLeft w:val="0"/>
      <w:marRight w:val="0"/>
      <w:marTop w:val="0"/>
      <w:marBottom w:val="0"/>
      <w:divBdr>
        <w:top w:val="none" w:sz="0" w:space="0" w:color="auto"/>
        <w:left w:val="none" w:sz="0" w:space="0" w:color="auto"/>
        <w:bottom w:val="none" w:sz="0" w:space="0" w:color="auto"/>
        <w:right w:val="none" w:sz="0" w:space="0" w:color="auto"/>
      </w:divBdr>
    </w:div>
    <w:div w:id="485244623">
      <w:bodyDiv w:val="1"/>
      <w:marLeft w:val="0"/>
      <w:marRight w:val="0"/>
      <w:marTop w:val="0"/>
      <w:marBottom w:val="0"/>
      <w:divBdr>
        <w:top w:val="none" w:sz="0" w:space="0" w:color="auto"/>
        <w:left w:val="none" w:sz="0" w:space="0" w:color="auto"/>
        <w:bottom w:val="none" w:sz="0" w:space="0" w:color="auto"/>
        <w:right w:val="none" w:sz="0" w:space="0" w:color="auto"/>
      </w:divBdr>
    </w:div>
    <w:div w:id="499856647">
      <w:bodyDiv w:val="1"/>
      <w:marLeft w:val="0"/>
      <w:marRight w:val="0"/>
      <w:marTop w:val="0"/>
      <w:marBottom w:val="0"/>
      <w:divBdr>
        <w:top w:val="none" w:sz="0" w:space="0" w:color="auto"/>
        <w:left w:val="none" w:sz="0" w:space="0" w:color="auto"/>
        <w:bottom w:val="none" w:sz="0" w:space="0" w:color="auto"/>
        <w:right w:val="none" w:sz="0" w:space="0" w:color="auto"/>
      </w:divBdr>
    </w:div>
    <w:div w:id="511535823">
      <w:bodyDiv w:val="1"/>
      <w:marLeft w:val="0"/>
      <w:marRight w:val="0"/>
      <w:marTop w:val="0"/>
      <w:marBottom w:val="0"/>
      <w:divBdr>
        <w:top w:val="none" w:sz="0" w:space="0" w:color="auto"/>
        <w:left w:val="none" w:sz="0" w:space="0" w:color="auto"/>
        <w:bottom w:val="none" w:sz="0" w:space="0" w:color="auto"/>
        <w:right w:val="none" w:sz="0" w:space="0" w:color="auto"/>
      </w:divBdr>
    </w:div>
    <w:div w:id="516887129">
      <w:bodyDiv w:val="1"/>
      <w:marLeft w:val="0"/>
      <w:marRight w:val="0"/>
      <w:marTop w:val="0"/>
      <w:marBottom w:val="0"/>
      <w:divBdr>
        <w:top w:val="none" w:sz="0" w:space="0" w:color="auto"/>
        <w:left w:val="none" w:sz="0" w:space="0" w:color="auto"/>
        <w:bottom w:val="none" w:sz="0" w:space="0" w:color="auto"/>
        <w:right w:val="none" w:sz="0" w:space="0" w:color="auto"/>
      </w:divBdr>
    </w:div>
    <w:div w:id="519051425">
      <w:bodyDiv w:val="1"/>
      <w:marLeft w:val="0"/>
      <w:marRight w:val="0"/>
      <w:marTop w:val="0"/>
      <w:marBottom w:val="0"/>
      <w:divBdr>
        <w:top w:val="none" w:sz="0" w:space="0" w:color="auto"/>
        <w:left w:val="none" w:sz="0" w:space="0" w:color="auto"/>
        <w:bottom w:val="none" w:sz="0" w:space="0" w:color="auto"/>
        <w:right w:val="none" w:sz="0" w:space="0" w:color="auto"/>
      </w:divBdr>
    </w:div>
    <w:div w:id="525562191">
      <w:bodyDiv w:val="1"/>
      <w:marLeft w:val="0"/>
      <w:marRight w:val="0"/>
      <w:marTop w:val="0"/>
      <w:marBottom w:val="0"/>
      <w:divBdr>
        <w:top w:val="none" w:sz="0" w:space="0" w:color="auto"/>
        <w:left w:val="none" w:sz="0" w:space="0" w:color="auto"/>
        <w:bottom w:val="none" w:sz="0" w:space="0" w:color="auto"/>
        <w:right w:val="none" w:sz="0" w:space="0" w:color="auto"/>
      </w:divBdr>
    </w:div>
    <w:div w:id="533270957">
      <w:bodyDiv w:val="1"/>
      <w:marLeft w:val="0"/>
      <w:marRight w:val="0"/>
      <w:marTop w:val="0"/>
      <w:marBottom w:val="0"/>
      <w:divBdr>
        <w:top w:val="none" w:sz="0" w:space="0" w:color="auto"/>
        <w:left w:val="none" w:sz="0" w:space="0" w:color="auto"/>
        <w:bottom w:val="none" w:sz="0" w:space="0" w:color="auto"/>
        <w:right w:val="none" w:sz="0" w:space="0" w:color="auto"/>
      </w:divBdr>
    </w:div>
    <w:div w:id="536699394">
      <w:bodyDiv w:val="1"/>
      <w:marLeft w:val="0"/>
      <w:marRight w:val="0"/>
      <w:marTop w:val="0"/>
      <w:marBottom w:val="0"/>
      <w:divBdr>
        <w:top w:val="none" w:sz="0" w:space="0" w:color="auto"/>
        <w:left w:val="none" w:sz="0" w:space="0" w:color="auto"/>
        <w:bottom w:val="none" w:sz="0" w:space="0" w:color="auto"/>
        <w:right w:val="none" w:sz="0" w:space="0" w:color="auto"/>
      </w:divBdr>
    </w:div>
    <w:div w:id="545727625">
      <w:bodyDiv w:val="1"/>
      <w:marLeft w:val="0"/>
      <w:marRight w:val="0"/>
      <w:marTop w:val="0"/>
      <w:marBottom w:val="0"/>
      <w:divBdr>
        <w:top w:val="none" w:sz="0" w:space="0" w:color="auto"/>
        <w:left w:val="none" w:sz="0" w:space="0" w:color="auto"/>
        <w:bottom w:val="none" w:sz="0" w:space="0" w:color="auto"/>
        <w:right w:val="none" w:sz="0" w:space="0" w:color="auto"/>
      </w:divBdr>
    </w:div>
    <w:div w:id="563760115">
      <w:bodyDiv w:val="1"/>
      <w:marLeft w:val="0"/>
      <w:marRight w:val="0"/>
      <w:marTop w:val="0"/>
      <w:marBottom w:val="0"/>
      <w:divBdr>
        <w:top w:val="none" w:sz="0" w:space="0" w:color="auto"/>
        <w:left w:val="none" w:sz="0" w:space="0" w:color="auto"/>
        <w:bottom w:val="none" w:sz="0" w:space="0" w:color="auto"/>
        <w:right w:val="none" w:sz="0" w:space="0" w:color="auto"/>
      </w:divBdr>
    </w:div>
    <w:div w:id="578755863">
      <w:bodyDiv w:val="1"/>
      <w:marLeft w:val="0"/>
      <w:marRight w:val="0"/>
      <w:marTop w:val="0"/>
      <w:marBottom w:val="0"/>
      <w:divBdr>
        <w:top w:val="none" w:sz="0" w:space="0" w:color="auto"/>
        <w:left w:val="none" w:sz="0" w:space="0" w:color="auto"/>
        <w:bottom w:val="none" w:sz="0" w:space="0" w:color="auto"/>
        <w:right w:val="none" w:sz="0" w:space="0" w:color="auto"/>
      </w:divBdr>
    </w:div>
    <w:div w:id="581184819">
      <w:bodyDiv w:val="1"/>
      <w:marLeft w:val="0"/>
      <w:marRight w:val="0"/>
      <w:marTop w:val="0"/>
      <w:marBottom w:val="0"/>
      <w:divBdr>
        <w:top w:val="none" w:sz="0" w:space="0" w:color="auto"/>
        <w:left w:val="none" w:sz="0" w:space="0" w:color="auto"/>
        <w:bottom w:val="none" w:sz="0" w:space="0" w:color="auto"/>
        <w:right w:val="none" w:sz="0" w:space="0" w:color="auto"/>
      </w:divBdr>
    </w:div>
    <w:div w:id="602999783">
      <w:bodyDiv w:val="1"/>
      <w:marLeft w:val="0"/>
      <w:marRight w:val="0"/>
      <w:marTop w:val="0"/>
      <w:marBottom w:val="0"/>
      <w:divBdr>
        <w:top w:val="none" w:sz="0" w:space="0" w:color="auto"/>
        <w:left w:val="none" w:sz="0" w:space="0" w:color="auto"/>
        <w:bottom w:val="none" w:sz="0" w:space="0" w:color="auto"/>
        <w:right w:val="none" w:sz="0" w:space="0" w:color="auto"/>
      </w:divBdr>
      <w:divsChild>
        <w:div w:id="735052864">
          <w:marLeft w:val="0"/>
          <w:marRight w:val="0"/>
          <w:marTop w:val="0"/>
          <w:marBottom w:val="0"/>
          <w:divBdr>
            <w:top w:val="none" w:sz="0" w:space="0" w:color="auto"/>
            <w:left w:val="none" w:sz="0" w:space="0" w:color="auto"/>
            <w:bottom w:val="none" w:sz="0" w:space="0" w:color="auto"/>
            <w:right w:val="none" w:sz="0" w:space="0" w:color="auto"/>
          </w:divBdr>
        </w:div>
        <w:div w:id="832338612">
          <w:marLeft w:val="0"/>
          <w:marRight w:val="0"/>
          <w:marTop w:val="0"/>
          <w:marBottom w:val="0"/>
          <w:divBdr>
            <w:top w:val="none" w:sz="0" w:space="0" w:color="auto"/>
            <w:left w:val="none" w:sz="0" w:space="0" w:color="auto"/>
            <w:bottom w:val="none" w:sz="0" w:space="0" w:color="auto"/>
            <w:right w:val="none" w:sz="0" w:space="0" w:color="auto"/>
          </w:divBdr>
        </w:div>
        <w:div w:id="1764257471">
          <w:marLeft w:val="0"/>
          <w:marRight w:val="0"/>
          <w:marTop w:val="0"/>
          <w:marBottom w:val="0"/>
          <w:divBdr>
            <w:top w:val="none" w:sz="0" w:space="0" w:color="auto"/>
            <w:left w:val="none" w:sz="0" w:space="0" w:color="auto"/>
            <w:bottom w:val="none" w:sz="0" w:space="0" w:color="auto"/>
            <w:right w:val="none" w:sz="0" w:space="0" w:color="auto"/>
          </w:divBdr>
        </w:div>
      </w:divsChild>
    </w:div>
    <w:div w:id="611593882">
      <w:bodyDiv w:val="1"/>
      <w:marLeft w:val="0"/>
      <w:marRight w:val="0"/>
      <w:marTop w:val="0"/>
      <w:marBottom w:val="0"/>
      <w:divBdr>
        <w:top w:val="none" w:sz="0" w:space="0" w:color="auto"/>
        <w:left w:val="none" w:sz="0" w:space="0" w:color="auto"/>
        <w:bottom w:val="none" w:sz="0" w:space="0" w:color="auto"/>
        <w:right w:val="none" w:sz="0" w:space="0" w:color="auto"/>
      </w:divBdr>
    </w:div>
    <w:div w:id="652678283">
      <w:bodyDiv w:val="1"/>
      <w:marLeft w:val="0"/>
      <w:marRight w:val="0"/>
      <w:marTop w:val="0"/>
      <w:marBottom w:val="0"/>
      <w:divBdr>
        <w:top w:val="none" w:sz="0" w:space="0" w:color="auto"/>
        <w:left w:val="none" w:sz="0" w:space="0" w:color="auto"/>
        <w:bottom w:val="none" w:sz="0" w:space="0" w:color="auto"/>
        <w:right w:val="none" w:sz="0" w:space="0" w:color="auto"/>
      </w:divBdr>
    </w:div>
    <w:div w:id="669673949">
      <w:bodyDiv w:val="1"/>
      <w:marLeft w:val="0"/>
      <w:marRight w:val="0"/>
      <w:marTop w:val="0"/>
      <w:marBottom w:val="0"/>
      <w:divBdr>
        <w:top w:val="none" w:sz="0" w:space="0" w:color="auto"/>
        <w:left w:val="none" w:sz="0" w:space="0" w:color="auto"/>
        <w:bottom w:val="none" w:sz="0" w:space="0" w:color="auto"/>
        <w:right w:val="none" w:sz="0" w:space="0" w:color="auto"/>
      </w:divBdr>
    </w:div>
    <w:div w:id="738020409">
      <w:marLeft w:val="0"/>
      <w:marRight w:val="0"/>
      <w:marTop w:val="0"/>
      <w:marBottom w:val="0"/>
      <w:divBdr>
        <w:top w:val="none" w:sz="0" w:space="0" w:color="auto"/>
        <w:left w:val="none" w:sz="0" w:space="0" w:color="auto"/>
        <w:bottom w:val="none" w:sz="0" w:space="0" w:color="auto"/>
        <w:right w:val="none" w:sz="0" w:space="0" w:color="auto"/>
      </w:divBdr>
    </w:div>
    <w:div w:id="738020410">
      <w:marLeft w:val="0"/>
      <w:marRight w:val="0"/>
      <w:marTop w:val="0"/>
      <w:marBottom w:val="0"/>
      <w:divBdr>
        <w:top w:val="none" w:sz="0" w:space="0" w:color="auto"/>
        <w:left w:val="none" w:sz="0" w:space="0" w:color="auto"/>
        <w:bottom w:val="none" w:sz="0" w:space="0" w:color="auto"/>
        <w:right w:val="none" w:sz="0" w:space="0" w:color="auto"/>
      </w:divBdr>
    </w:div>
    <w:div w:id="738020411">
      <w:marLeft w:val="0"/>
      <w:marRight w:val="0"/>
      <w:marTop w:val="0"/>
      <w:marBottom w:val="0"/>
      <w:divBdr>
        <w:top w:val="none" w:sz="0" w:space="0" w:color="auto"/>
        <w:left w:val="none" w:sz="0" w:space="0" w:color="auto"/>
        <w:bottom w:val="none" w:sz="0" w:space="0" w:color="auto"/>
        <w:right w:val="none" w:sz="0" w:space="0" w:color="auto"/>
      </w:divBdr>
      <w:divsChild>
        <w:div w:id="738020412">
          <w:marLeft w:val="720"/>
          <w:marRight w:val="720"/>
          <w:marTop w:val="100"/>
          <w:marBottom w:val="100"/>
          <w:divBdr>
            <w:top w:val="none" w:sz="0" w:space="0" w:color="auto"/>
            <w:left w:val="none" w:sz="0" w:space="0" w:color="auto"/>
            <w:bottom w:val="none" w:sz="0" w:space="0" w:color="auto"/>
            <w:right w:val="none" w:sz="0" w:space="0" w:color="auto"/>
          </w:divBdr>
        </w:div>
      </w:divsChild>
    </w:div>
    <w:div w:id="746225502">
      <w:bodyDiv w:val="1"/>
      <w:marLeft w:val="0"/>
      <w:marRight w:val="0"/>
      <w:marTop w:val="0"/>
      <w:marBottom w:val="0"/>
      <w:divBdr>
        <w:top w:val="none" w:sz="0" w:space="0" w:color="auto"/>
        <w:left w:val="none" w:sz="0" w:space="0" w:color="auto"/>
        <w:bottom w:val="none" w:sz="0" w:space="0" w:color="auto"/>
        <w:right w:val="none" w:sz="0" w:space="0" w:color="auto"/>
      </w:divBdr>
    </w:div>
    <w:div w:id="770321084">
      <w:bodyDiv w:val="1"/>
      <w:marLeft w:val="0"/>
      <w:marRight w:val="0"/>
      <w:marTop w:val="0"/>
      <w:marBottom w:val="0"/>
      <w:divBdr>
        <w:top w:val="none" w:sz="0" w:space="0" w:color="auto"/>
        <w:left w:val="none" w:sz="0" w:space="0" w:color="auto"/>
        <w:bottom w:val="none" w:sz="0" w:space="0" w:color="auto"/>
        <w:right w:val="none" w:sz="0" w:space="0" w:color="auto"/>
      </w:divBdr>
    </w:div>
    <w:div w:id="793986679">
      <w:bodyDiv w:val="1"/>
      <w:marLeft w:val="0"/>
      <w:marRight w:val="0"/>
      <w:marTop w:val="0"/>
      <w:marBottom w:val="0"/>
      <w:divBdr>
        <w:top w:val="none" w:sz="0" w:space="0" w:color="auto"/>
        <w:left w:val="none" w:sz="0" w:space="0" w:color="auto"/>
        <w:bottom w:val="none" w:sz="0" w:space="0" w:color="auto"/>
        <w:right w:val="none" w:sz="0" w:space="0" w:color="auto"/>
      </w:divBdr>
      <w:divsChild>
        <w:div w:id="632030026">
          <w:marLeft w:val="0"/>
          <w:marRight w:val="0"/>
          <w:marTop w:val="0"/>
          <w:marBottom w:val="0"/>
          <w:divBdr>
            <w:top w:val="none" w:sz="0" w:space="0" w:color="auto"/>
            <w:left w:val="none" w:sz="0" w:space="0" w:color="auto"/>
            <w:bottom w:val="none" w:sz="0" w:space="0" w:color="auto"/>
            <w:right w:val="none" w:sz="0" w:space="0" w:color="auto"/>
          </w:divBdr>
        </w:div>
        <w:div w:id="685712001">
          <w:marLeft w:val="0"/>
          <w:marRight w:val="0"/>
          <w:marTop w:val="0"/>
          <w:marBottom w:val="0"/>
          <w:divBdr>
            <w:top w:val="none" w:sz="0" w:space="0" w:color="auto"/>
            <w:left w:val="none" w:sz="0" w:space="0" w:color="auto"/>
            <w:bottom w:val="none" w:sz="0" w:space="0" w:color="auto"/>
            <w:right w:val="none" w:sz="0" w:space="0" w:color="auto"/>
          </w:divBdr>
        </w:div>
        <w:div w:id="862133441">
          <w:marLeft w:val="0"/>
          <w:marRight w:val="0"/>
          <w:marTop w:val="0"/>
          <w:marBottom w:val="0"/>
          <w:divBdr>
            <w:top w:val="none" w:sz="0" w:space="0" w:color="auto"/>
            <w:left w:val="none" w:sz="0" w:space="0" w:color="auto"/>
            <w:bottom w:val="none" w:sz="0" w:space="0" w:color="auto"/>
            <w:right w:val="none" w:sz="0" w:space="0" w:color="auto"/>
          </w:divBdr>
        </w:div>
      </w:divsChild>
    </w:div>
    <w:div w:id="797070333">
      <w:bodyDiv w:val="1"/>
      <w:marLeft w:val="0"/>
      <w:marRight w:val="0"/>
      <w:marTop w:val="0"/>
      <w:marBottom w:val="0"/>
      <w:divBdr>
        <w:top w:val="none" w:sz="0" w:space="0" w:color="auto"/>
        <w:left w:val="none" w:sz="0" w:space="0" w:color="auto"/>
        <w:bottom w:val="none" w:sz="0" w:space="0" w:color="auto"/>
        <w:right w:val="none" w:sz="0" w:space="0" w:color="auto"/>
      </w:divBdr>
    </w:div>
    <w:div w:id="835072197">
      <w:bodyDiv w:val="1"/>
      <w:marLeft w:val="0"/>
      <w:marRight w:val="0"/>
      <w:marTop w:val="0"/>
      <w:marBottom w:val="0"/>
      <w:divBdr>
        <w:top w:val="none" w:sz="0" w:space="0" w:color="auto"/>
        <w:left w:val="none" w:sz="0" w:space="0" w:color="auto"/>
        <w:bottom w:val="none" w:sz="0" w:space="0" w:color="auto"/>
        <w:right w:val="none" w:sz="0" w:space="0" w:color="auto"/>
      </w:divBdr>
    </w:div>
    <w:div w:id="866718724">
      <w:bodyDiv w:val="1"/>
      <w:marLeft w:val="0"/>
      <w:marRight w:val="0"/>
      <w:marTop w:val="0"/>
      <w:marBottom w:val="0"/>
      <w:divBdr>
        <w:top w:val="none" w:sz="0" w:space="0" w:color="auto"/>
        <w:left w:val="none" w:sz="0" w:space="0" w:color="auto"/>
        <w:bottom w:val="none" w:sz="0" w:space="0" w:color="auto"/>
        <w:right w:val="none" w:sz="0" w:space="0" w:color="auto"/>
      </w:divBdr>
    </w:div>
    <w:div w:id="868954214">
      <w:bodyDiv w:val="1"/>
      <w:marLeft w:val="0"/>
      <w:marRight w:val="0"/>
      <w:marTop w:val="0"/>
      <w:marBottom w:val="0"/>
      <w:divBdr>
        <w:top w:val="none" w:sz="0" w:space="0" w:color="auto"/>
        <w:left w:val="none" w:sz="0" w:space="0" w:color="auto"/>
        <w:bottom w:val="none" w:sz="0" w:space="0" w:color="auto"/>
        <w:right w:val="none" w:sz="0" w:space="0" w:color="auto"/>
      </w:divBdr>
    </w:div>
    <w:div w:id="898319898">
      <w:bodyDiv w:val="1"/>
      <w:marLeft w:val="0"/>
      <w:marRight w:val="0"/>
      <w:marTop w:val="0"/>
      <w:marBottom w:val="0"/>
      <w:divBdr>
        <w:top w:val="none" w:sz="0" w:space="0" w:color="auto"/>
        <w:left w:val="none" w:sz="0" w:space="0" w:color="auto"/>
        <w:bottom w:val="none" w:sz="0" w:space="0" w:color="auto"/>
        <w:right w:val="none" w:sz="0" w:space="0" w:color="auto"/>
      </w:divBdr>
    </w:div>
    <w:div w:id="934899495">
      <w:bodyDiv w:val="1"/>
      <w:marLeft w:val="0"/>
      <w:marRight w:val="0"/>
      <w:marTop w:val="0"/>
      <w:marBottom w:val="0"/>
      <w:divBdr>
        <w:top w:val="none" w:sz="0" w:space="0" w:color="auto"/>
        <w:left w:val="none" w:sz="0" w:space="0" w:color="auto"/>
        <w:bottom w:val="none" w:sz="0" w:space="0" w:color="auto"/>
        <w:right w:val="none" w:sz="0" w:space="0" w:color="auto"/>
      </w:divBdr>
    </w:div>
    <w:div w:id="938105221">
      <w:bodyDiv w:val="1"/>
      <w:marLeft w:val="0"/>
      <w:marRight w:val="0"/>
      <w:marTop w:val="0"/>
      <w:marBottom w:val="0"/>
      <w:divBdr>
        <w:top w:val="none" w:sz="0" w:space="0" w:color="auto"/>
        <w:left w:val="none" w:sz="0" w:space="0" w:color="auto"/>
        <w:bottom w:val="none" w:sz="0" w:space="0" w:color="auto"/>
        <w:right w:val="none" w:sz="0" w:space="0" w:color="auto"/>
      </w:divBdr>
      <w:divsChild>
        <w:div w:id="357966">
          <w:marLeft w:val="0"/>
          <w:marRight w:val="0"/>
          <w:marTop w:val="0"/>
          <w:marBottom w:val="0"/>
          <w:divBdr>
            <w:top w:val="none" w:sz="0" w:space="0" w:color="auto"/>
            <w:left w:val="none" w:sz="0" w:space="0" w:color="auto"/>
            <w:bottom w:val="none" w:sz="0" w:space="0" w:color="auto"/>
            <w:right w:val="none" w:sz="0" w:space="0" w:color="auto"/>
          </w:divBdr>
        </w:div>
        <w:div w:id="624771490">
          <w:marLeft w:val="0"/>
          <w:marRight w:val="0"/>
          <w:marTop w:val="0"/>
          <w:marBottom w:val="0"/>
          <w:divBdr>
            <w:top w:val="none" w:sz="0" w:space="0" w:color="auto"/>
            <w:left w:val="none" w:sz="0" w:space="0" w:color="auto"/>
            <w:bottom w:val="none" w:sz="0" w:space="0" w:color="auto"/>
            <w:right w:val="none" w:sz="0" w:space="0" w:color="auto"/>
          </w:divBdr>
        </w:div>
        <w:div w:id="811169862">
          <w:marLeft w:val="0"/>
          <w:marRight w:val="0"/>
          <w:marTop w:val="0"/>
          <w:marBottom w:val="0"/>
          <w:divBdr>
            <w:top w:val="none" w:sz="0" w:space="0" w:color="auto"/>
            <w:left w:val="none" w:sz="0" w:space="0" w:color="auto"/>
            <w:bottom w:val="none" w:sz="0" w:space="0" w:color="auto"/>
            <w:right w:val="none" w:sz="0" w:space="0" w:color="auto"/>
          </w:divBdr>
        </w:div>
        <w:div w:id="935551041">
          <w:marLeft w:val="0"/>
          <w:marRight w:val="0"/>
          <w:marTop w:val="0"/>
          <w:marBottom w:val="0"/>
          <w:divBdr>
            <w:top w:val="none" w:sz="0" w:space="0" w:color="auto"/>
            <w:left w:val="none" w:sz="0" w:space="0" w:color="auto"/>
            <w:bottom w:val="none" w:sz="0" w:space="0" w:color="auto"/>
            <w:right w:val="none" w:sz="0" w:space="0" w:color="auto"/>
          </w:divBdr>
        </w:div>
        <w:div w:id="1184246571">
          <w:marLeft w:val="0"/>
          <w:marRight w:val="0"/>
          <w:marTop w:val="0"/>
          <w:marBottom w:val="0"/>
          <w:divBdr>
            <w:top w:val="none" w:sz="0" w:space="0" w:color="auto"/>
            <w:left w:val="none" w:sz="0" w:space="0" w:color="auto"/>
            <w:bottom w:val="none" w:sz="0" w:space="0" w:color="auto"/>
            <w:right w:val="none" w:sz="0" w:space="0" w:color="auto"/>
          </w:divBdr>
        </w:div>
        <w:div w:id="1402368107">
          <w:marLeft w:val="0"/>
          <w:marRight w:val="0"/>
          <w:marTop w:val="0"/>
          <w:marBottom w:val="0"/>
          <w:divBdr>
            <w:top w:val="none" w:sz="0" w:space="0" w:color="auto"/>
            <w:left w:val="none" w:sz="0" w:space="0" w:color="auto"/>
            <w:bottom w:val="none" w:sz="0" w:space="0" w:color="auto"/>
            <w:right w:val="none" w:sz="0" w:space="0" w:color="auto"/>
          </w:divBdr>
        </w:div>
        <w:div w:id="1629436112">
          <w:marLeft w:val="0"/>
          <w:marRight w:val="0"/>
          <w:marTop w:val="0"/>
          <w:marBottom w:val="0"/>
          <w:divBdr>
            <w:top w:val="none" w:sz="0" w:space="0" w:color="auto"/>
            <w:left w:val="none" w:sz="0" w:space="0" w:color="auto"/>
            <w:bottom w:val="none" w:sz="0" w:space="0" w:color="auto"/>
            <w:right w:val="none" w:sz="0" w:space="0" w:color="auto"/>
          </w:divBdr>
        </w:div>
        <w:div w:id="1914047128">
          <w:marLeft w:val="0"/>
          <w:marRight w:val="0"/>
          <w:marTop w:val="0"/>
          <w:marBottom w:val="0"/>
          <w:divBdr>
            <w:top w:val="none" w:sz="0" w:space="0" w:color="auto"/>
            <w:left w:val="none" w:sz="0" w:space="0" w:color="auto"/>
            <w:bottom w:val="none" w:sz="0" w:space="0" w:color="auto"/>
            <w:right w:val="none" w:sz="0" w:space="0" w:color="auto"/>
          </w:divBdr>
        </w:div>
      </w:divsChild>
    </w:div>
    <w:div w:id="967660344">
      <w:bodyDiv w:val="1"/>
      <w:marLeft w:val="0"/>
      <w:marRight w:val="0"/>
      <w:marTop w:val="0"/>
      <w:marBottom w:val="0"/>
      <w:divBdr>
        <w:top w:val="none" w:sz="0" w:space="0" w:color="auto"/>
        <w:left w:val="none" w:sz="0" w:space="0" w:color="auto"/>
        <w:bottom w:val="none" w:sz="0" w:space="0" w:color="auto"/>
        <w:right w:val="none" w:sz="0" w:space="0" w:color="auto"/>
      </w:divBdr>
    </w:div>
    <w:div w:id="977416419">
      <w:bodyDiv w:val="1"/>
      <w:marLeft w:val="0"/>
      <w:marRight w:val="0"/>
      <w:marTop w:val="0"/>
      <w:marBottom w:val="0"/>
      <w:divBdr>
        <w:top w:val="none" w:sz="0" w:space="0" w:color="auto"/>
        <w:left w:val="none" w:sz="0" w:space="0" w:color="auto"/>
        <w:bottom w:val="none" w:sz="0" w:space="0" w:color="auto"/>
        <w:right w:val="none" w:sz="0" w:space="0" w:color="auto"/>
      </w:divBdr>
    </w:div>
    <w:div w:id="982926781">
      <w:bodyDiv w:val="1"/>
      <w:marLeft w:val="0"/>
      <w:marRight w:val="0"/>
      <w:marTop w:val="0"/>
      <w:marBottom w:val="0"/>
      <w:divBdr>
        <w:top w:val="none" w:sz="0" w:space="0" w:color="auto"/>
        <w:left w:val="none" w:sz="0" w:space="0" w:color="auto"/>
        <w:bottom w:val="none" w:sz="0" w:space="0" w:color="auto"/>
        <w:right w:val="none" w:sz="0" w:space="0" w:color="auto"/>
      </w:divBdr>
    </w:div>
    <w:div w:id="984116181">
      <w:bodyDiv w:val="1"/>
      <w:marLeft w:val="0"/>
      <w:marRight w:val="0"/>
      <w:marTop w:val="0"/>
      <w:marBottom w:val="0"/>
      <w:divBdr>
        <w:top w:val="none" w:sz="0" w:space="0" w:color="auto"/>
        <w:left w:val="none" w:sz="0" w:space="0" w:color="auto"/>
        <w:bottom w:val="none" w:sz="0" w:space="0" w:color="auto"/>
        <w:right w:val="none" w:sz="0" w:space="0" w:color="auto"/>
      </w:divBdr>
    </w:div>
    <w:div w:id="996110528">
      <w:bodyDiv w:val="1"/>
      <w:marLeft w:val="0"/>
      <w:marRight w:val="0"/>
      <w:marTop w:val="0"/>
      <w:marBottom w:val="0"/>
      <w:divBdr>
        <w:top w:val="none" w:sz="0" w:space="0" w:color="auto"/>
        <w:left w:val="none" w:sz="0" w:space="0" w:color="auto"/>
        <w:bottom w:val="none" w:sz="0" w:space="0" w:color="auto"/>
        <w:right w:val="none" w:sz="0" w:space="0" w:color="auto"/>
      </w:divBdr>
    </w:div>
    <w:div w:id="1009061220">
      <w:bodyDiv w:val="1"/>
      <w:marLeft w:val="0"/>
      <w:marRight w:val="0"/>
      <w:marTop w:val="0"/>
      <w:marBottom w:val="0"/>
      <w:divBdr>
        <w:top w:val="none" w:sz="0" w:space="0" w:color="auto"/>
        <w:left w:val="none" w:sz="0" w:space="0" w:color="auto"/>
        <w:bottom w:val="none" w:sz="0" w:space="0" w:color="auto"/>
        <w:right w:val="none" w:sz="0" w:space="0" w:color="auto"/>
      </w:divBdr>
    </w:div>
    <w:div w:id="1022827742">
      <w:bodyDiv w:val="1"/>
      <w:marLeft w:val="0"/>
      <w:marRight w:val="0"/>
      <w:marTop w:val="0"/>
      <w:marBottom w:val="0"/>
      <w:divBdr>
        <w:top w:val="none" w:sz="0" w:space="0" w:color="auto"/>
        <w:left w:val="none" w:sz="0" w:space="0" w:color="auto"/>
        <w:bottom w:val="none" w:sz="0" w:space="0" w:color="auto"/>
        <w:right w:val="none" w:sz="0" w:space="0" w:color="auto"/>
      </w:divBdr>
    </w:div>
    <w:div w:id="1037240247">
      <w:bodyDiv w:val="1"/>
      <w:marLeft w:val="0"/>
      <w:marRight w:val="0"/>
      <w:marTop w:val="0"/>
      <w:marBottom w:val="0"/>
      <w:divBdr>
        <w:top w:val="none" w:sz="0" w:space="0" w:color="auto"/>
        <w:left w:val="none" w:sz="0" w:space="0" w:color="auto"/>
        <w:bottom w:val="none" w:sz="0" w:space="0" w:color="auto"/>
        <w:right w:val="none" w:sz="0" w:space="0" w:color="auto"/>
      </w:divBdr>
    </w:div>
    <w:div w:id="1043747687">
      <w:bodyDiv w:val="1"/>
      <w:marLeft w:val="0"/>
      <w:marRight w:val="0"/>
      <w:marTop w:val="0"/>
      <w:marBottom w:val="0"/>
      <w:divBdr>
        <w:top w:val="none" w:sz="0" w:space="0" w:color="auto"/>
        <w:left w:val="none" w:sz="0" w:space="0" w:color="auto"/>
        <w:bottom w:val="none" w:sz="0" w:space="0" w:color="auto"/>
        <w:right w:val="none" w:sz="0" w:space="0" w:color="auto"/>
      </w:divBdr>
    </w:div>
    <w:div w:id="1059203634">
      <w:bodyDiv w:val="1"/>
      <w:marLeft w:val="0"/>
      <w:marRight w:val="0"/>
      <w:marTop w:val="0"/>
      <w:marBottom w:val="0"/>
      <w:divBdr>
        <w:top w:val="none" w:sz="0" w:space="0" w:color="auto"/>
        <w:left w:val="none" w:sz="0" w:space="0" w:color="auto"/>
        <w:bottom w:val="none" w:sz="0" w:space="0" w:color="auto"/>
        <w:right w:val="none" w:sz="0" w:space="0" w:color="auto"/>
      </w:divBdr>
    </w:div>
    <w:div w:id="1087458125">
      <w:bodyDiv w:val="1"/>
      <w:marLeft w:val="0"/>
      <w:marRight w:val="0"/>
      <w:marTop w:val="0"/>
      <w:marBottom w:val="0"/>
      <w:divBdr>
        <w:top w:val="none" w:sz="0" w:space="0" w:color="auto"/>
        <w:left w:val="none" w:sz="0" w:space="0" w:color="auto"/>
        <w:bottom w:val="none" w:sz="0" w:space="0" w:color="auto"/>
        <w:right w:val="none" w:sz="0" w:space="0" w:color="auto"/>
      </w:divBdr>
    </w:div>
    <w:div w:id="1090665155">
      <w:bodyDiv w:val="1"/>
      <w:marLeft w:val="0"/>
      <w:marRight w:val="0"/>
      <w:marTop w:val="0"/>
      <w:marBottom w:val="0"/>
      <w:divBdr>
        <w:top w:val="none" w:sz="0" w:space="0" w:color="auto"/>
        <w:left w:val="none" w:sz="0" w:space="0" w:color="auto"/>
        <w:bottom w:val="none" w:sz="0" w:space="0" w:color="auto"/>
        <w:right w:val="none" w:sz="0" w:space="0" w:color="auto"/>
      </w:divBdr>
    </w:div>
    <w:div w:id="1117480818">
      <w:bodyDiv w:val="1"/>
      <w:marLeft w:val="0"/>
      <w:marRight w:val="0"/>
      <w:marTop w:val="0"/>
      <w:marBottom w:val="0"/>
      <w:divBdr>
        <w:top w:val="none" w:sz="0" w:space="0" w:color="auto"/>
        <w:left w:val="none" w:sz="0" w:space="0" w:color="auto"/>
        <w:bottom w:val="none" w:sz="0" w:space="0" w:color="auto"/>
        <w:right w:val="none" w:sz="0" w:space="0" w:color="auto"/>
      </w:divBdr>
    </w:div>
    <w:div w:id="1121454049">
      <w:bodyDiv w:val="1"/>
      <w:marLeft w:val="0"/>
      <w:marRight w:val="0"/>
      <w:marTop w:val="0"/>
      <w:marBottom w:val="0"/>
      <w:divBdr>
        <w:top w:val="none" w:sz="0" w:space="0" w:color="auto"/>
        <w:left w:val="none" w:sz="0" w:space="0" w:color="auto"/>
        <w:bottom w:val="none" w:sz="0" w:space="0" w:color="auto"/>
        <w:right w:val="none" w:sz="0" w:space="0" w:color="auto"/>
      </w:divBdr>
    </w:div>
    <w:div w:id="1154758749">
      <w:bodyDiv w:val="1"/>
      <w:marLeft w:val="0"/>
      <w:marRight w:val="0"/>
      <w:marTop w:val="0"/>
      <w:marBottom w:val="0"/>
      <w:divBdr>
        <w:top w:val="none" w:sz="0" w:space="0" w:color="auto"/>
        <w:left w:val="none" w:sz="0" w:space="0" w:color="auto"/>
        <w:bottom w:val="none" w:sz="0" w:space="0" w:color="auto"/>
        <w:right w:val="none" w:sz="0" w:space="0" w:color="auto"/>
      </w:divBdr>
    </w:div>
    <w:div w:id="1180192435">
      <w:bodyDiv w:val="1"/>
      <w:marLeft w:val="0"/>
      <w:marRight w:val="0"/>
      <w:marTop w:val="0"/>
      <w:marBottom w:val="0"/>
      <w:divBdr>
        <w:top w:val="none" w:sz="0" w:space="0" w:color="auto"/>
        <w:left w:val="none" w:sz="0" w:space="0" w:color="auto"/>
        <w:bottom w:val="none" w:sz="0" w:space="0" w:color="auto"/>
        <w:right w:val="none" w:sz="0" w:space="0" w:color="auto"/>
      </w:divBdr>
    </w:div>
    <w:div w:id="1193036573">
      <w:bodyDiv w:val="1"/>
      <w:marLeft w:val="0"/>
      <w:marRight w:val="0"/>
      <w:marTop w:val="0"/>
      <w:marBottom w:val="0"/>
      <w:divBdr>
        <w:top w:val="none" w:sz="0" w:space="0" w:color="auto"/>
        <w:left w:val="none" w:sz="0" w:space="0" w:color="auto"/>
        <w:bottom w:val="none" w:sz="0" w:space="0" w:color="auto"/>
        <w:right w:val="none" w:sz="0" w:space="0" w:color="auto"/>
      </w:divBdr>
    </w:div>
    <w:div w:id="1220898729">
      <w:bodyDiv w:val="1"/>
      <w:marLeft w:val="0"/>
      <w:marRight w:val="0"/>
      <w:marTop w:val="0"/>
      <w:marBottom w:val="0"/>
      <w:divBdr>
        <w:top w:val="none" w:sz="0" w:space="0" w:color="auto"/>
        <w:left w:val="none" w:sz="0" w:space="0" w:color="auto"/>
        <w:bottom w:val="none" w:sz="0" w:space="0" w:color="auto"/>
        <w:right w:val="none" w:sz="0" w:space="0" w:color="auto"/>
      </w:divBdr>
      <w:divsChild>
        <w:div w:id="474876587">
          <w:marLeft w:val="0"/>
          <w:marRight w:val="0"/>
          <w:marTop w:val="0"/>
          <w:marBottom w:val="0"/>
          <w:divBdr>
            <w:top w:val="none" w:sz="0" w:space="0" w:color="auto"/>
            <w:left w:val="none" w:sz="0" w:space="0" w:color="auto"/>
            <w:bottom w:val="none" w:sz="0" w:space="0" w:color="auto"/>
            <w:right w:val="none" w:sz="0" w:space="0" w:color="auto"/>
          </w:divBdr>
          <w:divsChild>
            <w:div w:id="758137247">
              <w:marLeft w:val="0"/>
              <w:marRight w:val="0"/>
              <w:marTop w:val="0"/>
              <w:marBottom w:val="0"/>
              <w:divBdr>
                <w:top w:val="none" w:sz="0" w:space="0" w:color="auto"/>
                <w:left w:val="none" w:sz="0" w:space="0" w:color="auto"/>
                <w:bottom w:val="none" w:sz="0" w:space="0" w:color="auto"/>
                <w:right w:val="none" w:sz="0" w:space="0" w:color="auto"/>
              </w:divBdr>
              <w:divsChild>
                <w:div w:id="899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4916765">
      <w:bodyDiv w:val="1"/>
      <w:marLeft w:val="0"/>
      <w:marRight w:val="0"/>
      <w:marTop w:val="0"/>
      <w:marBottom w:val="0"/>
      <w:divBdr>
        <w:top w:val="none" w:sz="0" w:space="0" w:color="auto"/>
        <w:left w:val="none" w:sz="0" w:space="0" w:color="auto"/>
        <w:bottom w:val="none" w:sz="0" w:space="0" w:color="auto"/>
        <w:right w:val="none" w:sz="0" w:space="0" w:color="auto"/>
      </w:divBdr>
    </w:div>
    <w:div w:id="1329409337">
      <w:bodyDiv w:val="1"/>
      <w:marLeft w:val="0"/>
      <w:marRight w:val="0"/>
      <w:marTop w:val="0"/>
      <w:marBottom w:val="0"/>
      <w:divBdr>
        <w:top w:val="none" w:sz="0" w:space="0" w:color="auto"/>
        <w:left w:val="none" w:sz="0" w:space="0" w:color="auto"/>
        <w:bottom w:val="none" w:sz="0" w:space="0" w:color="auto"/>
        <w:right w:val="none" w:sz="0" w:space="0" w:color="auto"/>
      </w:divBdr>
    </w:div>
    <w:div w:id="1385565703">
      <w:bodyDiv w:val="1"/>
      <w:marLeft w:val="0"/>
      <w:marRight w:val="0"/>
      <w:marTop w:val="0"/>
      <w:marBottom w:val="0"/>
      <w:divBdr>
        <w:top w:val="none" w:sz="0" w:space="0" w:color="auto"/>
        <w:left w:val="none" w:sz="0" w:space="0" w:color="auto"/>
        <w:bottom w:val="none" w:sz="0" w:space="0" w:color="auto"/>
        <w:right w:val="none" w:sz="0" w:space="0" w:color="auto"/>
      </w:divBdr>
    </w:div>
    <w:div w:id="1388189583">
      <w:bodyDiv w:val="1"/>
      <w:marLeft w:val="0"/>
      <w:marRight w:val="0"/>
      <w:marTop w:val="0"/>
      <w:marBottom w:val="0"/>
      <w:divBdr>
        <w:top w:val="none" w:sz="0" w:space="0" w:color="auto"/>
        <w:left w:val="none" w:sz="0" w:space="0" w:color="auto"/>
        <w:bottom w:val="none" w:sz="0" w:space="0" w:color="auto"/>
        <w:right w:val="none" w:sz="0" w:space="0" w:color="auto"/>
      </w:divBdr>
    </w:div>
    <w:div w:id="1401173268">
      <w:bodyDiv w:val="1"/>
      <w:marLeft w:val="0"/>
      <w:marRight w:val="0"/>
      <w:marTop w:val="0"/>
      <w:marBottom w:val="0"/>
      <w:divBdr>
        <w:top w:val="none" w:sz="0" w:space="0" w:color="auto"/>
        <w:left w:val="none" w:sz="0" w:space="0" w:color="auto"/>
        <w:bottom w:val="none" w:sz="0" w:space="0" w:color="auto"/>
        <w:right w:val="none" w:sz="0" w:space="0" w:color="auto"/>
      </w:divBdr>
    </w:div>
    <w:div w:id="1440754921">
      <w:bodyDiv w:val="1"/>
      <w:marLeft w:val="0"/>
      <w:marRight w:val="0"/>
      <w:marTop w:val="0"/>
      <w:marBottom w:val="0"/>
      <w:divBdr>
        <w:top w:val="none" w:sz="0" w:space="0" w:color="auto"/>
        <w:left w:val="none" w:sz="0" w:space="0" w:color="auto"/>
        <w:bottom w:val="none" w:sz="0" w:space="0" w:color="auto"/>
        <w:right w:val="none" w:sz="0" w:space="0" w:color="auto"/>
      </w:divBdr>
    </w:div>
    <w:div w:id="1457867265">
      <w:bodyDiv w:val="1"/>
      <w:marLeft w:val="0"/>
      <w:marRight w:val="0"/>
      <w:marTop w:val="0"/>
      <w:marBottom w:val="0"/>
      <w:divBdr>
        <w:top w:val="none" w:sz="0" w:space="0" w:color="auto"/>
        <w:left w:val="none" w:sz="0" w:space="0" w:color="auto"/>
        <w:bottom w:val="none" w:sz="0" w:space="0" w:color="auto"/>
        <w:right w:val="none" w:sz="0" w:space="0" w:color="auto"/>
      </w:divBdr>
    </w:div>
    <w:div w:id="1482114460">
      <w:bodyDiv w:val="1"/>
      <w:marLeft w:val="0"/>
      <w:marRight w:val="0"/>
      <w:marTop w:val="0"/>
      <w:marBottom w:val="0"/>
      <w:divBdr>
        <w:top w:val="none" w:sz="0" w:space="0" w:color="auto"/>
        <w:left w:val="none" w:sz="0" w:space="0" w:color="auto"/>
        <w:bottom w:val="none" w:sz="0" w:space="0" w:color="auto"/>
        <w:right w:val="none" w:sz="0" w:space="0" w:color="auto"/>
      </w:divBdr>
    </w:div>
    <w:div w:id="1500997645">
      <w:bodyDiv w:val="1"/>
      <w:marLeft w:val="0"/>
      <w:marRight w:val="0"/>
      <w:marTop w:val="0"/>
      <w:marBottom w:val="0"/>
      <w:divBdr>
        <w:top w:val="none" w:sz="0" w:space="0" w:color="auto"/>
        <w:left w:val="none" w:sz="0" w:space="0" w:color="auto"/>
        <w:bottom w:val="none" w:sz="0" w:space="0" w:color="auto"/>
        <w:right w:val="none" w:sz="0" w:space="0" w:color="auto"/>
      </w:divBdr>
    </w:div>
    <w:div w:id="1506555754">
      <w:bodyDiv w:val="1"/>
      <w:marLeft w:val="0"/>
      <w:marRight w:val="0"/>
      <w:marTop w:val="0"/>
      <w:marBottom w:val="0"/>
      <w:divBdr>
        <w:top w:val="none" w:sz="0" w:space="0" w:color="auto"/>
        <w:left w:val="none" w:sz="0" w:space="0" w:color="auto"/>
        <w:bottom w:val="none" w:sz="0" w:space="0" w:color="auto"/>
        <w:right w:val="none" w:sz="0" w:space="0" w:color="auto"/>
      </w:divBdr>
    </w:div>
    <w:div w:id="1533611080">
      <w:bodyDiv w:val="1"/>
      <w:marLeft w:val="0"/>
      <w:marRight w:val="0"/>
      <w:marTop w:val="0"/>
      <w:marBottom w:val="0"/>
      <w:divBdr>
        <w:top w:val="none" w:sz="0" w:space="0" w:color="auto"/>
        <w:left w:val="none" w:sz="0" w:space="0" w:color="auto"/>
        <w:bottom w:val="none" w:sz="0" w:space="0" w:color="auto"/>
        <w:right w:val="none" w:sz="0" w:space="0" w:color="auto"/>
      </w:divBdr>
    </w:div>
    <w:div w:id="1553998515">
      <w:bodyDiv w:val="1"/>
      <w:marLeft w:val="0"/>
      <w:marRight w:val="0"/>
      <w:marTop w:val="0"/>
      <w:marBottom w:val="0"/>
      <w:divBdr>
        <w:top w:val="none" w:sz="0" w:space="0" w:color="auto"/>
        <w:left w:val="none" w:sz="0" w:space="0" w:color="auto"/>
        <w:bottom w:val="none" w:sz="0" w:space="0" w:color="auto"/>
        <w:right w:val="none" w:sz="0" w:space="0" w:color="auto"/>
      </w:divBdr>
    </w:div>
    <w:div w:id="1564297270">
      <w:bodyDiv w:val="1"/>
      <w:marLeft w:val="0"/>
      <w:marRight w:val="0"/>
      <w:marTop w:val="0"/>
      <w:marBottom w:val="0"/>
      <w:divBdr>
        <w:top w:val="none" w:sz="0" w:space="0" w:color="auto"/>
        <w:left w:val="none" w:sz="0" w:space="0" w:color="auto"/>
        <w:bottom w:val="none" w:sz="0" w:space="0" w:color="auto"/>
        <w:right w:val="none" w:sz="0" w:space="0" w:color="auto"/>
      </w:divBdr>
    </w:div>
    <w:div w:id="1576432433">
      <w:bodyDiv w:val="1"/>
      <w:marLeft w:val="0"/>
      <w:marRight w:val="0"/>
      <w:marTop w:val="0"/>
      <w:marBottom w:val="0"/>
      <w:divBdr>
        <w:top w:val="none" w:sz="0" w:space="0" w:color="auto"/>
        <w:left w:val="none" w:sz="0" w:space="0" w:color="auto"/>
        <w:bottom w:val="none" w:sz="0" w:space="0" w:color="auto"/>
        <w:right w:val="none" w:sz="0" w:space="0" w:color="auto"/>
      </w:divBdr>
    </w:div>
    <w:div w:id="1581208584">
      <w:bodyDiv w:val="1"/>
      <w:marLeft w:val="0"/>
      <w:marRight w:val="0"/>
      <w:marTop w:val="0"/>
      <w:marBottom w:val="0"/>
      <w:divBdr>
        <w:top w:val="none" w:sz="0" w:space="0" w:color="auto"/>
        <w:left w:val="none" w:sz="0" w:space="0" w:color="auto"/>
        <w:bottom w:val="none" w:sz="0" w:space="0" w:color="auto"/>
        <w:right w:val="none" w:sz="0" w:space="0" w:color="auto"/>
      </w:divBdr>
    </w:div>
    <w:div w:id="1598055443">
      <w:bodyDiv w:val="1"/>
      <w:marLeft w:val="0"/>
      <w:marRight w:val="0"/>
      <w:marTop w:val="0"/>
      <w:marBottom w:val="0"/>
      <w:divBdr>
        <w:top w:val="none" w:sz="0" w:space="0" w:color="auto"/>
        <w:left w:val="none" w:sz="0" w:space="0" w:color="auto"/>
        <w:bottom w:val="none" w:sz="0" w:space="0" w:color="auto"/>
        <w:right w:val="none" w:sz="0" w:space="0" w:color="auto"/>
      </w:divBdr>
      <w:divsChild>
        <w:div w:id="1014189471">
          <w:marLeft w:val="0"/>
          <w:marRight w:val="0"/>
          <w:marTop w:val="0"/>
          <w:marBottom w:val="0"/>
          <w:divBdr>
            <w:top w:val="none" w:sz="0" w:space="0" w:color="auto"/>
            <w:left w:val="none" w:sz="0" w:space="0" w:color="auto"/>
            <w:bottom w:val="none" w:sz="0" w:space="0" w:color="auto"/>
            <w:right w:val="none" w:sz="0" w:space="0" w:color="auto"/>
          </w:divBdr>
        </w:div>
      </w:divsChild>
    </w:div>
    <w:div w:id="1631090360">
      <w:bodyDiv w:val="1"/>
      <w:marLeft w:val="0"/>
      <w:marRight w:val="0"/>
      <w:marTop w:val="0"/>
      <w:marBottom w:val="0"/>
      <w:divBdr>
        <w:top w:val="none" w:sz="0" w:space="0" w:color="auto"/>
        <w:left w:val="none" w:sz="0" w:space="0" w:color="auto"/>
        <w:bottom w:val="none" w:sz="0" w:space="0" w:color="auto"/>
        <w:right w:val="none" w:sz="0" w:space="0" w:color="auto"/>
      </w:divBdr>
    </w:div>
    <w:div w:id="1649213779">
      <w:bodyDiv w:val="1"/>
      <w:marLeft w:val="0"/>
      <w:marRight w:val="0"/>
      <w:marTop w:val="0"/>
      <w:marBottom w:val="0"/>
      <w:divBdr>
        <w:top w:val="none" w:sz="0" w:space="0" w:color="auto"/>
        <w:left w:val="none" w:sz="0" w:space="0" w:color="auto"/>
        <w:bottom w:val="none" w:sz="0" w:space="0" w:color="auto"/>
        <w:right w:val="none" w:sz="0" w:space="0" w:color="auto"/>
      </w:divBdr>
    </w:div>
    <w:div w:id="1662151646">
      <w:bodyDiv w:val="1"/>
      <w:marLeft w:val="0"/>
      <w:marRight w:val="0"/>
      <w:marTop w:val="0"/>
      <w:marBottom w:val="0"/>
      <w:divBdr>
        <w:top w:val="none" w:sz="0" w:space="0" w:color="auto"/>
        <w:left w:val="none" w:sz="0" w:space="0" w:color="auto"/>
        <w:bottom w:val="none" w:sz="0" w:space="0" w:color="auto"/>
        <w:right w:val="none" w:sz="0" w:space="0" w:color="auto"/>
      </w:divBdr>
    </w:div>
    <w:div w:id="1673219494">
      <w:bodyDiv w:val="1"/>
      <w:marLeft w:val="0"/>
      <w:marRight w:val="0"/>
      <w:marTop w:val="0"/>
      <w:marBottom w:val="0"/>
      <w:divBdr>
        <w:top w:val="none" w:sz="0" w:space="0" w:color="auto"/>
        <w:left w:val="none" w:sz="0" w:space="0" w:color="auto"/>
        <w:bottom w:val="none" w:sz="0" w:space="0" w:color="auto"/>
        <w:right w:val="none" w:sz="0" w:space="0" w:color="auto"/>
      </w:divBdr>
      <w:divsChild>
        <w:div w:id="862090150">
          <w:marLeft w:val="0"/>
          <w:marRight w:val="0"/>
          <w:marTop w:val="0"/>
          <w:marBottom w:val="0"/>
          <w:divBdr>
            <w:top w:val="none" w:sz="0" w:space="0" w:color="auto"/>
            <w:left w:val="none" w:sz="0" w:space="0" w:color="auto"/>
            <w:bottom w:val="none" w:sz="0" w:space="0" w:color="auto"/>
            <w:right w:val="none" w:sz="0" w:space="0" w:color="auto"/>
          </w:divBdr>
        </w:div>
      </w:divsChild>
    </w:div>
    <w:div w:id="1691369924">
      <w:bodyDiv w:val="1"/>
      <w:marLeft w:val="0"/>
      <w:marRight w:val="0"/>
      <w:marTop w:val="0"/>
      <w:marBottom w:val="0"/>
      <w:divBdr>
        <w:top w:val="none" w:sz="0" w:space="0" w:color="auto"/>
        <w:left w:val="none" w:sz="0" w:space="0" w:color="auto"/>
        <w:bottom w:val="none" w:sz="0" w:space="0" w:color="auto"/>
        <w:right w:val="none" w:sz="0" w:space="0" w:color="auto"/>
      </w:divBdr>
    </w:div>
    <w:div w:id="1697151484">
      <w:bodyDiv w:val="1"/>
      <w:marLeft w:val="0"/>
      <w:marRight w:val="0"/>
      <w:marTop w:val="0"/>
      <w:marBottom w:val="0"/>
      <w:divBdr>
        <w:top w:val="none" w:sz="0" w:space="0" w:color="auto"/>
        <w:left w:val="none" w:sz="0" w:space="0" w:color="auto"/>
        <w:bottom w:val="none" w:sz="0" w:space="0" w:color="auto"/>
        <w:right w:val="none" w:sz="0" w:space="0" w:color="auto"/>
      </w:divBdr>
    </w:div>
    <w:div w:id="1702514811">
      <w:bodyDiv w:val="1"/>
      <w:marLeft w:val="0"/>
      <w:marRight w:val="0"/>
      <w:marTop w:val="0"/>
      <w:marBottom w:val="0"/>
      <w:divBdr>
        <w:top w:val="none" w:sz="0" w:space="0" w:color="auto"/>
        <w:left w:val="none" w:sz="0" w:space="0" w:color="auto"/>
        <w:bottom w:val="none" w:sz="0" w:space="0" w:color="auto"/>
        <w:right w:val="none" w:sz="0" w:space="0" w:color="auto"/>
      </w:divBdr>
    </w:div>
    <w:div w:id="1710031916">
      <w:bodyDiv w:val="1"/>
      <w:marLeft w:val="0"/>
      <w:marRight w:val="0"/>
      <w:marTop w:val="0"/>
      <w:marBottom w:val="0"/>
      <w:divBdr>
        <w:top w:val="none" w:sz="0" w:space="0" w:color="auto"/>
        <w:left w:val="none" w:sz="0" w:space="0" w:color="auto"/>
        <w:bottom w:val="none" w:sz="0" w:space="0" w:color="auto"/>
        <w:right w:val="none" w:sz="0" w:space="0" w:color="auto"/>
      </w:divBdr>
    </w:div>
    <w:div w:id="1732772385">
      <w:bodyDiv w:val="1"/>
      <w:marLeft w:val="0"/>
      <w:marRight w:val="0"/>
      <w:marTop w:val="0"/>
      <w:marBottom w:val="0"/>
      <w:divBdr>
        <w:top w:val="none" w:sz="0" w:space="0" w:color="auto"/>
        <w:left w:val="none" w:sz="0" w:space="0" w:color="auto"/>
        <w:bottom w:val="none" w:sz="0" w:space="0" w:color="auto"/>
        <w:right w:val="none" w:sz="0" w:space="0" w:color="auto"/>
      </w:divBdr>
    </w:div>
    <w:div w:id="1744260671">
      <w:bodyDiv w:val="1"/>
      <w:marLeft w:val="0"/>
      <w:marRight w:val="0"/>
      <w:marTop w:val="0"/>
      <w:marBottom w:val="0"/>
      <w:divBdr>
        <w:top w:val="none" w:sz="0" w:space="0" w:color="auto"/>
        <w:left w:val="none" w:sz="0" w:space="0" w:color="auto"/>
        <w:bottom w:val="none" w:sz="0" w:space="0" w:color="auto"/>
        <w:right w:val="none" w:sz="0" w:space="0" w:color="auto"/>
      </w:divBdr>
    </w:div>
    <w:div w:id="1747799667">
      <w:bodyDiv w:val="1"/>
      <w:marLeft w:val="0"/>
      <w:marRight w:val="0"/>
      <w:marTop w:val="0"/>
      <w:marBottom w:val="0"/>
      <w:divBdr>
        <w:top w:val="none" w:sz="0" w:space="0" w:color="auto"/>
        <w:left w:val="none" w:sz="0" w:space="0" w:color="auto"/>
        <w:bottom w:val="none" w:sz="0" w:space="0" w:color="auto"/>
        <w:right w:val="none" w:sz="0" w:space="0" w:color="auto"/>
      </w:divBdr>
    </w:div>
    <w:div w:id="1784107159">
      <w:bodyDiv w:val="1"/>
      <w:marLeft w:val="0"/>
      <w:marRight w:val="0"/>
      <w:marTop w:val="0"/>
      <w:marBottom w:val="0"/>
      <w:divBdr>
        <w:top w:val="none" w:sz="0" w:space="0" w:color="auto"/>
        <w:left w:val="none" w:sz="0" w:space="0" w:color="auto"/>
        <w:bottom w:val="none" w:sz="0" w:space="0" w:color="auto"/>
        <w:right w:val="none" w:sz="0" w:space="0" w:color="auto"/>
      </w:divBdr>
    </w:div>
    <w:div w:id="1798526161">
      <w:bodyDiv w:val="1"/>
      <w:marLeft w:val="0"/>
      <w:marRight w:val="0"/>
      <w:marTop w:val="0"/>
      <w:marBottom w:val="0"/>
      <w:divBdr>
        <w:top w:val="none" w:sz="0" w:space="0" w:color="auto"/>
        <w:left w:val="none" w:sz="0" w:space="0" w:color="auto"/>
        <w:bottom w:val="none" w:sz="0" w:space="0" w:color="auto"/>
        <w:right w:val="none" w:sz="0" w:space="0" w:color="auto"/>
      </w:divBdr>
    </w:div>
    <w:div w:id="1802075327">
      <w:bodyDiv w:val="1"/>
      <w:marLeft w:val="0"/>
      <w:marRight w:val="0"/>
      <w:marTop w:val="0"/>
      <w:marBottom w:val="0"/>
      <w:divBdr>
        <w:top w:val="none" w:sz="0" w:space="0" w:color="auto"/>
        <w:left w:val="none" w:sz="0" w:space="0" w:color="auto"/>
        <w:bottom w:val="none" w:sz="0" w:space="0" w:color="auto"/>
        <w:right w:val="none" w:sz="0" w:space="0" w:color="auto"/>
      </w:divBdr>
    </w:div>
    <w:div w:id="1806703445">
      <w:bodyDiv w:val="1"/>
      <w:marLeft w:val="0"/>
      <w:marRight w:val="0"/>
      <w:marTop w:val="0"/>
      <w:marBottom w:val="0"/>
      <w:divBdr>
        <w:top w:val="none" w:sz="0" w:space="0" w:color="auto"/>
        <w:left w:val="none" w:sz="0" w:space="0" w:color="auto"/>
        <w:bottom w:val="none" w:sz="0" w:space="0" w:color="auto"/>
        <w:right w:val="none" w:sz="0" w:space="0" w:color="auto"/>
      </w:divBdr>
    </w:div>
    <w:div w:id="1861317659">
      <w:bodyDiv w:val="1"/>
      <w:marLeft w:val="0"/>
      <w:marRight w:val="0"/>
      <w:marTop w:val="0"/>
      <w:marBottom w:val="0"/>
      <w:divBdr>
        <w:top w:val="none" w:sz="0" w:space="0" w:color="auto"/>
        <w:left w:val="none" w:sz="0" w:space="0" w:color="auto"/>
        <w:bottom w:val="none" w:sz="0" w:space="0" w:color="auto"/>
        <w:right w:val="none" w:sz="0" w:space="0" w:color="auto"/>
      </w:divBdr>
    </w:div>
    <w:div w:id="1892769572">
      <w:bodyDiv w:val="1"/>
      <w:marLeft w:val="0"/>
      <w:marRight w:val="0"/>
      <w:marTop w:val="0"/>
      <w:marBottom w:val="0"/>
      <w:divBdr>
        <w:top w:val="none" w:sz="0" w:space="0" w:color="auto"/>
        <w:left w:val="none" w:sz="0" w:space="0" w:color="auto"/>
        <w:bottom w:val="none" w:sz="0" w:space="0" w:color="auto"/>
        <w:right w:val="none" w:sz="0" w:space="0" w:color="auto"/>
      </w:divBdr>
    </w:div>
    <w:div w:id="1894927171">
      <w:bodyDiv w:val="1"/>
      <w:marLeft w:val="0"/>
      <w:marRight w:val="0"/>
      <w:marTop w:val="0"/>
      <w:marBottom w:val="0"/>
      <w:divBdr>
        <w:top w:val="none" w:sz="0" w:space="0" w:color="auto"/>
        <w:left w:val="none" w:sz="0" w:space="0" w:color="auto"/>
        <w:bottom w:val="none" w:sz="0" w:space="0" w:color="auto"/>
        <w:right w:val="none" w:sz="0" w:space="0" w:color="auto"/>
      </w:divBdr>
    </w:div>
    <w:div w:id="1914311412">
      <w:bodyDiv w:val="1"/>
      <w:marLeft w:val="0"/>
      <w:marRight w:val="0"/>
      <w:marTop w:val="0"/>
      <w:marBottom w:val="0"/>
      <w:divBdr>
        <w:top w:val="none" w:sz="0" w:space="0" w:color="auto"/>
        <w:left w:val="none" w:sz="0" w:space="0" w:color="auto"/>
        <w:bottom w:val="none" w:sz="0" w:space="0" w:color="auto"/>
        <w:right w:val="none" w:sz="0" w:space="0" w:color="auto"/>
      </w:divBdr>
    </w:div>
    <w:div w:id="1939757110">
      <w:bodyDiv w:val="1"/>
      <w:marLeft w:val="0"/>
      <w:marRight w:val="0"/>
      <w:marTop w:val="0"/>
      <w:marBottom w:val="0"/>
      <w:divBdr>
        <w:top w:val="none" w:sz="0" w:space="0" w:color="auto"/>
        <w:left w:val="none" w:sz="0" w:space="0" w:color="auto"/>
        <w:bottom w:val="none" w:sz="0" w:space="0" w:color="auto"/>
        <w:right w:val="none" w:sz="0" w:space="0" w:color="auto"/>
      </w:divBdr>
    </w:div>
    <w:div w:id="1951668781">
      <w:bodyDiv w:val="1"/>
      <w:marLeft w:val="0"/>
      <w:marRight w:val="0"/>
      <w:marTop w:val="0"/>
      <w:marBottom w:val="0"/>
      <w:divBdr>
        <w:top w:val="none" w:sz="0" w:space="0" w:color="auto"/>
        <w:left w:val="none" w:sz="0" w:space="0" w:color="auto"/>
        <w:bottom w:val="none" w:sz="0" w:space="0" w:color="auto"/>
        <w:right w:val="none" w:sz="0" w:space="0" w:color="auto"/>
      </w:divBdr>
      <w:divsChild>
        <w:div w:id="329069718">
          <w:marLeft w:val="0"/>
          <w:marRight w:val="0"/>
          <w:marTop w:val="0"/>
          <w:marBottom w:val="0"/>
          <w:divBdr>
            <w:top w:val="none" w:sz="0" w:space="0" w:color="auto"/>
            <w:left w:val="none" w:sz="0" w:space="0" w:color="auto"/>
            <w:bottom w:val="none" w:sz="0" w:space="0" w:color="auto"/>
            <w:right w:val="none" w:sz="0" w:space="0" w:color="auto"/>
          </w:divBdr>
          <w:divsChild>
            <w:div w:id="820580137">
              <w:marLeft w:val="0"/>
              <w:marRight w:val="0"/>
              <w:marTop w:val="0"/>
              <w:marBottom w:val="0"/>
              <w:divBdr>
                <w:top w:val="none" w:sz="0" w:space="0" w:color="auto"/>
                <w:left w:val="none" w:sz="0" w:space="0" w:color="auto"/>
                <w:bottom w:val="none" w:sz="0" w:space="0" w:color="auto"/>
                <w:right w:val="none" w:sz="0" w:space="0" w:color="auto"/>
              </w:divBdr>
              <w:divsChild>
                <w:div w:id="777142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268457">
      <w:bodyDiv w:val="1"/>
      <w:marLeft w:val="0"/>
      <w:marRight w:val="0"/>
      <w:marTop w:val="0"/>
      <w:marBottom w:val="0"/>
      <w:divBdr>
        <w:top w:val="none" w:sz="0" w:space="0" w:color="auto"/>
        <w:left w:val="none" w:sz="0" w:space="0" w:color="auto"/>
        <w:bottom w:val="none" w:sz="0" w:space="0" w:color="auto"/>
        <w:right w:val="none" w:sz="0" w:space="0" w:color="auto"/>
      </w:divBdr>
    </w:div>
    <w:div w:id="1990671410">
      <w:bodyDiv w:val="1"/>
      <w:marLeft w:val="0"/>
      <w:marRight w:val="0"/>
      <w:marTop w:val="0"/>
      <w:marBottom w:val="0"/>
      <w:divBdr>
        <w:top w:val="none" w:sz="0" w:space="0" w:color="auto"/>
        <w:left w:val="none" w:sz="0" w:space="0" w:color="auto"/>
        <w:bottom w:val="none" w:sz="0" w:space="0" w:color="auto"/>
        <w:right w:val="none" w:sz="0" w:space="0" w:color="auto"/>
      </w:divBdr>
      <w:divsChild>
        <w:div w:id="1042361063">
          <w:marLeft w:val="0"/>
          <w:marRight w:val="0"/>
          <w:marTop w:val="0"/>
          <w:marBottom w:val="0"/>
          <w:divBdr>
            <w:top w:val="none" w:sz="0" w:space="0" w:color="auto"/>
            <w:left w:val="none" w:sz="0" w:space="0" w:color="auto"/>
            <w:bottom w:val="none" w:sz="0" w:space="0" w:color="auto"/>
            <w:right w:val="none" w:sz="0" w:space="0" w:color="auto"/>
          </w:divBdr>
        </w:div>
        <w:div w:id="1338658987">
          <w:marLeft w:val="0"/>
          <w:marRight w:val="0"/>
          <w:marTop w:val="0"/>
          <w:marBottom w:val="0"/>
          <w:divBdr>
            <w:top w:val="none" w:sz="0" w:space="0" w:color="auto"/>
            <w:left w:val="none" w:sz="0" w:space="0" w:color="auto"/>
            <w:bottom w:val="none" w:sz="0" w:space="0" w:color="auto"/>
            <w:right w:val="none" w:sz="0" w:space="0" w:color="auto"/>
          </w:divBdr>
          <w:divsChild>
            <w:div w:id="686055904">
              <w:marLeft w:val="0"/>
              <w:marRight w:val="0"/>
              <w:marTop w:val="0"/>
              <w:marBottom w:val="0"/>
              <w:divBdr>
                <w:top w:val="none" w:sz="0" w:space="0" w:color="auto"/>
                <w:left w:val="none" w:sz="0" w:space="0" w:color="auto"/>
                <w:bottom w:val="none" w:sz="0" w:space="0" w:color="auto"/>
                <w:right w:val="none" w:sz="0" w:space="0" w:color="auto"/>
              </w:divBdr>
            </w:div>
            <w:div w:id="1361977591">
              <w:marLeft w:val="0"/>
              <w:marRight w:val="0"/>
              <w:marTop w:val="0"/>
              <w:marBottom w:val="0"/>
              <w:divBdr>
                <w:top w:val="none" w:sz="0" w:space="0" w:color="auto"/>
                <w:left w:val="none" w:sz="0" w:space="0" w:color="auto"/>
                <w:bottom w:val="none" w:sz="0" w:space="0" w:color="auto"/>
                <w:right w:val="none" w:sz="0" w:space="0" w:color="auto"/>
              </w:divBdr>
            </w:div>
            <w:div w:id="1634170324">
              <w:marLeft w:val="0"/>
              <w:marRight w:val="0"/>
              <w:marTop w:val="0"/>
              <w:marBottom w:val="0"/>
              <w:divBdr>
                <w:top w:val="none" w:sz="0" w:space="0" w:color="auto"/>
                <w:left w:val="none" w:sz="0" w:space="0" w:color="auto"/>
                <w:bottom w:val="none" w:sz="0" w:space="0" w:color="auto"/>
                <w:right w:val="none" w:sz="0" w:space="0" w:color="auto"/>
              </w:divBdr>
            </w:div>
            <w:div w:id="2052457561">
              <w:marLeft w:val="0"/>
              <w:marRight w:val="0"/>
              <w:marTop w:val="0"/>
              <w:marBottom w:val="0"/>
              <w:divBdr>
                <w:top w:val="none" w:sz="0" w:space="0" w:color="auto"/>
                <w:left w:val="none" w:sz="0" w:space="0" w:color="auto"/>
                <w:bottom w:val="none" w:sz="0" w:space="0" w:color="auto"/>
                <w:right w:val="none" w:sz="0" w:space="0" w:color="auto"/>
              </w:divBdr>
            </w:div>
            <w:div w:id="2141531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346125">
      <w:bodyDiv w:val="1"/>
      <w:marLeft w:val="0"/>
      <w:marRight w:val="0"/>
      <w:marTop w:val="0"/>
      <w:marBottom w:val="0"/>
      <w:divBdr>
        <w:top w:val="none" w:sz="0" w:space="0" w:color="auto"/>
        <w:left w:val="none" w:sz="0" w:space="0" w:color="auto"/>
        <w:bottom w:val="none" w:sz="0" w:space="0" w:color="auto"/>
        <w:right w:val="none" w:sz="0" w:space="0" w:color="auto"/>
      </w:divBdr>
    </w:div>
    <w:div w:id="2026664764">
      <w:bodyDiv w:val="1"/>
      <w:marLeft w:val="0"/>
      <w:marRight w:val="0"/>
      <w:marTop w:val="0"/>
      <w:marBottom w:val="0"/>
      <w:divBdr>
        <w:top w:val="none" w:sz="0" w:space="0" w:color="auto"/>
        <w:left w:val="none" w:sz="0" w:space="0" w:color="auto"/>
        <w:bottom w:val="none" w:sz="0" w:space="0" w:color="auto"/>
        <w:right w:val="none" w:sz="0" w:space="0" w:color="auto"/>
      </w:divBdr>
    </w:div>
    <w:div w:id="2063864750">
      <w:bodyDiv w:val="1"/>
      <w:marLeft w:val="0"/>
      <w:marRight w:val="0"/>
      <w:marTop w:val="0"/>
      <w:marBottom w:val="0"/>
      <w:divBdr>
        <w:top w:val="none" w:sz="0" w:space="0" w:color="auto"/>
        <w:left w:val="none" w:sz="0" w:space="0" w:color="auto"/>
        <w:bottom w:val="none" w:sz="0" w:space="0" w:color="auto"/>
        <w:right w:val="none" w:sz="0" w:space="0" w:color="auto"/>
      </w:divBdr>
    </w:div>
    <w:div w:id="2095979711">
      <w:bodyDiv w:val="1"/>
      <w:marLeft w:val="0"/>
      <w:marRight w:val="0"/>
      <w:marTop w:val="0"/>
      <w:marBottom w:val="0"/>
      <w:divBdr>
        <w:top w:val="none" w:sz="0" w:space="0" w:color="auto"/>
        <w:left w:val="none" w:sz="0" w:space="0" w:color="auto"/>
        <w:bottom w:val="none" w:sz="0" w:space="0" w:color="auto"/>
        <w:right w:val="none" w:sz="0" w:space="0" w:color="auto"/>
      </w:divBdr>
    </w:div>
    <w:div w:id="2106531676">
      <w:bodyDiv w:val="1"/>
      <w:marLeft w:val="0"/>
      <w:marRight w:val="0"/>
      <w:marTop w:val="0"/>
      <w:marBottom w:val="0"/>
      <w:divBdr>
        <w:top w:val="none" w:sz="0" w:space="0" w:color="auto"/>
        <w:left w:val="none" w:sz="0" w:space="0" w:color="auto"/>
        <w:bottom w:val="none" w:sz="0" w:space="0" w:color="auto"/>
        <w:right w:val="none" w:sz="0" w:space="0" w:color="auto"/>
      </w:divBdr>
    </w:div>
    <w:div w:id="2118523970">
      <w:bodyDiv w:val="1"/>
      <w:marLeft w:val="0"/>
      <w:marRight w:val="0"/>
      <w:marTop w:val="0"/>
      <w:marBottom w:val="0"/>
      <w:divBdr>
        <w:top w:val="none" w:sz="0" w:space="0" w:color="auto"/>
        <w:left w:val="none" w:sz="0" w:space="0" w:color="auto"/>
        <w:bottom w:val="none" w:sz="0" w:space="0" w:color="auto"/>
        <w:right w:val="none" w:sz="0" w:space="0" w:color="auto"/>
      </w:divBdr>
    </w:div>
    <w:div w:id="2120879193">
      <w:bodyDiv w:val="1"/>
      <w:marLeft w:val="0"/>
      <w:marRight w:val="0"/>
      <w:marTop w:val="0"/>
      <w:marBottom w:val="0"/>
      <w:divBdr>
        <w:top w:val="none" w:sz="0" w:space="0" w:color="auto"/>
        <w:left w:val="none" w:sz="0" w:space="0" w:color="auto"/>
        <w:bottom w:val="none" w:sz="0" w:space="0" w:color="auto"/>
        <w:right w:val="none" w:sz="0" w:space="0" w:color="auto"/>
      </w:divBdr>
    </w:div>
    <w:div w:id="2123256684">
      <w:bodyDiv w:val="1"/>
      <w:marLeft w:val="0"/>
      <w:marRight w:val="0"/>
      <w:marTop w:val="0"/>
      <w:marBottom w:val="0"/>
      <w:divBdr>
        <w:top w:val="none" w:sz="0" w:space="0" w:color="auto"/>
        <w:left w:val="none" w:sz="0" w:space="0" w:color="auto"/>
        <w:bottom w:val="none" w:sz="0" w:space="0" w:color="auto"/>
        <w:right w:val="none" w:sz="0" w:space="0" w:color="auto"/>
      </w:divBdr>
    </w:div>
    <w:div w:id="2130857154">
      <w:bodyDiv w:val="1"/>
      <w:marLeft w:val="0"/>
      <w:marRight w:val="0"/>
      <w:marTop w:val="0"/>
      <w:marBottom w:val="0"/>
      <w:divBdr>
        <w:top w:val="none" w:sz="0" w:space="0" w:color="auto"/>
        <w:left w:val="none" w:sz="0" w:space="0" w:color="auto"/>
        <w:bottom w:val="none" w:sz="0" w:space="0" w:color="auto"/>
        <w:right w:val="none" w:sz="0" w:space="0" w:color="auto"/>
      </w:divBdr>
    </w:div>
    <w:div w:id="2139251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header" Target="header1.xml"/><Relationship Id="rId39" Type="http://schemas.openxmlformats.org/officeDocument/2006/relationships/image" Target="media/image19.png"/><Relationship Id="rId21" Type="http://schemas.openxmlformats.org/officeDocument/2006/relationships/image" Target="media/image10.jpg"/><Relationship Id="rId34" Type="http://schemas.openxmlformats.org/officeDocument/2006/relationships/image" Target="media/image18.emf"/><Relationship Id="rId42" Type="http://schemas.openxmlformats.org/officeDocument/2006/relationships/image" Target="media/image20.emf"/><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jpg"/><Relationship Id="rId32" Type="http://schemas.openxmlformats.org/officeDocument/2006/relationships/image" Target="media/image16.emf"/><Relationship Id="rId37" Type="http://schemas.openxmlformats.org/officeDocument/2006/relationships/header" Target="header5.xml"/><Relationship Id="rId40" Type="http://schemas.openxmlformats.org/officeDocument/2006/relationships/chart" Target="charts/chart1.xml"/><Relationship Id="rId45" Type="http://schemas.openxmlformats.org/officeDocument/2006/relationships/image" Target="media/image21.emf"/><Relationship Id="rId5" Type="http://schemas.openxmlformats.org/officeDocument/2006/relationships/customXml" Target="../customXml/item5.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footer" Target="footer1.xml"/><Relationship Id="rId36" Type="http://schemas.openxmlformats.org/officeDocument/2006/relationships/footer" Target="footer4.xm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footer" Target="footer3.xml"/><Relationship Id="rId44"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eader" Target="header4.xml"/><Relationship Id="rId43" Type="http://schemas.openxmlformats.org/officeDocument/2006/relationships/chart" Target="charts/chart3.xm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footer" Target="footer5.xml"/><Relationship Id="rId46" Type="http://schemas.openxmlformats.org/officeDocument/2006/relationships/fontTable" Target="fontTable.xml"/><Relationship Id="rId20" Type="http://schemas.openxmlformats.org/officeDocument/2006/relationships/image" Target="media/image9.jpeg"/><Relationship Id="rId41" Type="http://schemas.openxmlformats.org/officeDocument/2006/relationships/chart" Target="charts/chart2.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_rels/header3.xml.rels><?xml version="1.0" encoding="UTF-8" standalone="yes"?>
<Relationships xmlns="http://schemas.openxmlformats.org/package/2006/relationships"><Relationship Id="rId1" Type="http://schemas.openxmlformats.org/officeDocument/2006/relationships/image" Target="media/image15.jpeg"/></Relationships>
</file>

<file path=word/_rels/header4.xml.rels><?xml version="1.0" encoding="UTF-8" standalone="yes"?>
<Relationships xmlns="http://schemas.openxmlformats.org/package/2006/relationships"><Relationship Id="rId1" Type="http://schemas.openxmlformats.org/officeDocument/2006/relationships/image" Target="media/image15.jpeg"/></Relationships>
</file>

<file path=word/_rels/header5.xml.rels><?xml version="1.0" encoding="UTF-8" standalone="yes"?>
<Relationships xmlns="http://schemas.openxmlformats.org/package/2006/relationships"><Relationship Id="rId1" Type="http://schemas.openxmlformats.org/officeDocument/2006/relationships/image" Target="media/image15.jpeg"/></Relationships>
</file>

<file path=word/_rels/header6.xml.rels><?xml version="1.0" encoding="UTF-8" standalone="yes"?>
<Relationships xmlns="http://schemas.openxmlformats.org/package/2006/relationships"><Relationship Id="rId1"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Fam&#237;lia%20Czeczko\Meus%20documentos\Alex\Documentos\Modelos\Teses%20e%20Disserta&#231;&#245;es.dot"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alex.rocha\Desktop\alex.rocha\Trabalhos%20GGE\Demandas\20240112%20-%20RAG\OK%20-%202%20-%20RAG%20Sintetico%20DEZEMBRO23%20-%20GORS%20-%20Planilha%20(1).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ex.rocha\Desktop\alex.rocha\Trabalhos%20GGE\Demandas\20240130%20-%20Relat&#243;rio%20da%20administra&#231;&#227;o\OK%20-%20GGP\Grafico%20Rel.%20Adm..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2075655230368856E-2"/>
          <c:y val="2.3623558088177898E-2"/>
          <c:w val="0.92585276084706203"/>
          <c:h val="0.63879646160315662"/>
        </c:manualLayout>
      </c:layout>
      <c:barChart>
        <c:barDir val="col"/>
        <c:grouping val="clustered"/>
        <c:varyColors val="0"/>
        <c:ser>
          <c:idx val="0"/>
          <c:order val="0"/>
          <c:tx>
            <c:strRef>
              <c:f>'Relatório GEC'!$I$123</c:f>
              <c:strCache>
                <c:ptCount val="1"/>
                <c:pt idx="0">
                  <c:v>Instalados</c:v>
                </c:pt>
              </c:strCache>
            </c:strRef>
          </c:tx>
          <c:spPr>
            <a:solidFill>
              <a:srgbClr val="002060"/>
            </a:solidFill>
            <a:ln w="25400">
              <a:noFill/>
            </a:ln>
            <a:effectLst/>
          </c:spPr>
          <c:invertIfNegative val="0"/>
          <c:dLbls>
            <c:delete val="1"/>
          </c:dLbls>
          <c:cat>
            <c:strRef>
              <c:f>'Relatório GEC'!$H$124:$H$143</c:f>
              <c:strCache>
                <c:ptCount val="20"/>
                <c:pt idx="0">
                  <c:v>1º Trim 2019</c:v>
                </c:pt>
                <c:pt idx="1">
                  <c:v>2º Trim 2019</c:v>
                </c:pt>
                <c:pt idx="2">
                  <c:v>3º Trim 2019</c:v>
                </c:pt>
                <c:pt idx="3">
                  <c:v>4º Trim 2019</c:v>
                </c:pt>
                <c:pt idx="4">
                  <c:v>1º Trim 2020</c:v>
                </c:pt>
                <c:pt idx="5">
                  <c:v>2º Trim 2020</c:v>
                </c:pt>
                <c:pt idx="6">
                  <c:v>3º Trim 2020</c:v>
                </c:pt>
                <c:pt idx="7">
                  <c:v>4º Trim 2020</c:v>
                </c:pt>
                <c:pt idx="8">
                  <c:v>1º Trim 2021</c:v>
                </c:pt>
                <c:pt idx="9">
                  <c:v>2º Trim 2021</c:v>
                </c:pt>
                <c:pt idx="10">
                  <c:v>3º Trim 2021</c:v>
                </c:pt>
                <c:pt idx="11">
                  <c:v>4º Trim 2021</c:v>
                </c:pt>
                <c:pt idx="12">
                  <c:v>1º Trim 2022</c:v>
                </c:pt>
                <c:pt idx="13">
                  <c:v>2º Trim 2022</c:v>
                </c:pt>
                <c:pt idx="14">
                  <c:v>3º Trim 2022</c:v>
                </c:pt>
                <c:pt idx="15">
                  <c:v>4º Trim 2022</c:v>
                </c:pt>
                <c:pt idx="16">
                  <c:v>1º Trim 2023</c:v>
                </c:pt>
                <c:pt idx="17">
                  <c:v>2º Trim 2023</c:v>
                </c:pt>
                <c:pt idx="18">
                  <c:v>3º Trim 2023</c:v>
                </c:pt>
                <c:pt idx="19">
                  <c:v>4º Trim 2023</c:v>
                </c:pt>
              </c:strCache>
            </c:strRef>
          </c:cat>
          <c:val>
            <c:numRef>
              <c:f>'Relatório GEC'!$I$124:$I$143</c:f>
              <c:numCache>
                <c:formatCode>#,##0</c:formatCode>
                <c:ptCount val="20"/>
                <c:pt idx="0">
                  <c:v>2089</c:v>
                </c:pt>
                <c:pt idx="1">
                  <c:v>7217</c:v>
                </c:pt>
                <c:pt idx="2">
                  <c:v>9676</c:v>
                </c:pt>
                <c:pt idx="3">
                  <c:v>11112</c:v>
                </c:pt>
                <c:pt idx="4">
                  <c:v>11310</c:v>
                </c:pt>
                <c:pt idx="5">
                  <c:v>11748</c:v>
                </c:pt>
                <c:pt idx="6">
                  <c:v>12698</c:v>
                </c:pt>
                <c:pt idx="7">
                  <c:v>13024</c:v>
                </c:pt>
                <c:pt idx="8">
                  <c:v>13511</c:v>
                </c:pt>
                <c:pt idx="9">
                  <c:v>13956</c:v>
                </c:pt>
                <c:pt idx="10">
                  <c:v>14437</c:v>
                </c:pt>
                <c:pt idx="11">
                  <c:v>14980</c:v>
                </c:pt>
                <c:pt idx="12">
                  <c:v>16023</c:v>
                </c:pt>
                <c:pt idx="13">
                  <c:v>20172</c:v>
                </c:pt>
                <c:pt idx="14">
                  <c:v>23691</c:v>
                </c:pt>
                <c:pt idx="15">
                  <c:v>25524</c:v>
                </c:pt>
                <c:pt idx="16">
                  <c:v>25635</c:v>
                </c:pt>
                <c:pt idx="17">
                  <c:v>25701</c:v>
                </c:pt>
                <c:pt idx="18">
                  <c:v>25761</c:v>
                </c:pt>
                <c:pt idx="19">
                  <c:v>26026</c:v>
                </c:pt>
              </c:numCache>
            </c:numRef>
          </c:val>
          <c:extLst xmlns:c15="http://schemas.microsoft.com/office/drawing/2012/chart">
            <c:ext xmlns:c16="http://schemas.microsoft.com/office/drawing/2014/chart" uri="{C3380CC4-5D6E-409C-BE32-E72D297353CC}">
              <c16:uniqueId val="{00000000-9FFF-4B8A-9E28-0E3614B5BD73}"/>
            </c:ext>
          </c:extLst>
        </c:ser>
        <c:ser>
          <c:idx val="4"/>
          <c:order val="1"/>
          <c:tx>
            <c:strRef>
              <c:f>'Relatório GEC'!$J$123</c:f>
              <c:strCache>
                <c:ptCount val="1"/>
                <c:pt idx="0">
                  <c:v>TIPP</c:v>
                </c:pt>
              </c:strCache>
            </c:strRef>
          </c:tx>
          <c:spPr>
            <a:solidFill>
              <a:srgbClr val="00B050"/>
            </a:solidFill>
            <a:ln w="25400">
              <a:noFill/>
            </a:ln>
            <a:effectLst/>
          </c:spPr>
          <c:invertIfNegative val="0"/>
          <c:dLbls>
            <c:delete val="1"/>
          </c:dLbls>
          <c:cat>
            <c:strRef>
              <c:f>'Relatório GEC'!$H$124:$H$143</c:f>
              <c:strCache>
                <c:ptCount val="20"/>
                <c:pt idx="0">
                  <c:v>1º Trim 2019</c:v>
                </c:pt>
                <c:pt idx="1">
                  <c:v>2º Trim 2019</c:v>
                </c:pt>
                <c:pt idx="2">
                  <c:v>3º Trim 2019</c:v>
                </c:pt>
                <c:pt idx="3">
                  <c:v>4º Trim 2019</c:v>
                </c:pt>
                <c:pt idx="4">
                  <c:v>1º Trim 2020</c:v>
                </c:pt>
                <c:pt idx="5">
                  <c:v>2º Trim 2020</c:v>
                </c:pt>
                <c:pt idx="6">
                  <c:v>3º Trim 2020</c:v>
                </c:pt>
                <c:pt idx="7">
                  <c:v>4º Trim 2020</c:v>
                </c:pt>
                <c:pt idx="8">
                  <c:v>1º Trim 2021</c:v>
                </c:pt>
                <c:pt idx="9">
                  <c:v>2º Trim 2021</c:v>
                </c:pt>
                <c:pt idx="10">
                  <c:v>3º Trim 2021</c:v>
                </c:pt>
                <c:pt idx="11">
                  <c:v>4º Trim 2021</c:v>
                </c:pt>
                <c:pt idx="12">
                  <c:v>1º Trim 2022</c:v>
                </c:pt>
                <c:pt idx="13">
                  <c:v>2º Trim 2022</c:v>
                </c:pt>
                <c:pt idx="14">
                  <c:v>3º Trim 2022</c:v>
                </c:pt>
                <c:pt idx="15">
                  <c:v>4º Trim 2022</c:v>
                </c:pt>
                <c:pt idx="16">
                  <c:v>1º Trim 2023</c:v>
                </c:pt>
                <c:pt idx="17">
                  <c:v>2º Trim 2023</c:v>
                </c:pt>
                <c:pt idx="18">
                  <c:v>3º Trim 2023</c:v>
                </c:pt>
                <c:pt idx="19">
                  <c:v>4º Trim 2023</c:v>
                </c:pt>
              </c:strCache>
            </c:strRef>
          </c:cat>
          <c:val>
            <c:numRef>
              <c:f>'Relatório GEC'!$J$124:$J$143</c:f>
              <c:numCache>
                <c:formatCode>#,##0</c:formatCode>
                <c:ptCount val="20"/>
                <c:pt idx="0">
                  <c:v>2052</c:v>
                </c:pt>
                <c:pt idx="1">
                  <c:v>7187</c:v>
                </c:pt>
                <c:pt idx="2">
                  <c:v>9640</c:v>
                </c:pt>
                <c:pt idx="3">
                  <c:v>11104</c:v>
                </c:pt>
                <c:pt idx="4">
                  <c:v>11308</c:v>
                </c:pt>
                <c:pt idx="5">
                  <c:v>11743</c:v>
                </c:pt>
                <c:pt idx="6">
                  <c:v>12692</c:v>
                </c:pt>
                <c:pt idx="7">
                  <c:v>13020</c:v>
                </c:pt>
                <c:pt idx="8">
                  <c:v>13507</c:v>
                </c:pt>
                <c:pt idx="9">
                  <c:v>13951</c:v>
                </c:pt>
                <c:pt idx="10">
                  <c:v>14430</c:v>
                </c:pt>
                <c:pt idx="11">
                  <c:v>14964</c:v>
                </c:pt>
                <c:pt idx="12">
                  <c:v>15962</c:v>
                </c:pt>
                <c:pt idx="13">
                  <c:v>18540</c:v>
                </c:pt>
                <c:pt idx="14">
                  <c:v>21735</c:v>
                </c:pt>
                <c:pt idx="15">
                  <c:v>24154</c:v>
                </c:pt>
                <c:pt idx="16">
                  <c:v>25134</c:v>
                </c:pt>
                <c:pt idx="17">
                  <c:v>25333</c:v>
                </c:pt>
                <c:pt idx="18">
                  <c:v>25518</c:v>
                </c:pt>
                <c:pt idx="19">
                  <c:v>24642</c:v>
                </c:pt>
              </c:numCache>
            </c:numRef>
          </c:val>
          <c:extLst xmlns:c15="http://schemas.microsoft.com/office/drawing/2012/chart">
            <c:ext xmlns:c16="http://schemas.microsoft.com/office/drawing/2014/chart" uri="{C3380CC4-5D6E-409C-BE32-E72D297353CC}">
              <c16:uniqueId val="{00000001-9FFF-4B8A-9E28-0E3614B5BD73}"/>
            </c:ext>
          </c:extLst>
        </c:ser>
        <c:dLbls>
          <c:showLegendKey val="0"/>
          <c:showVal val="1"/>
          <c:showCatName val="0"/>
          <c:showSerName val="0"/>
          <c:showPercent val="0"/>
          <c:showBubbleSize val="0"/>
        </c:dLbls>
        <c:gapWidth val="150"/>
        <c:axId val="-638069808"/>
        <c:axId val="-638067632"/>
      </c:barChart>
      <c:dateAx>
        <c:axId val="-638069808"/>
        <c:scaling>
          <c:orientation val="minMax"/>
        </c:scaling>
        <c:delete val="1"/>
        <c:axPos val="b"/>
        <c:numFmt formatCode="General" sourceLinked="1"/>
        <c:majorTickMark val="out"/>
        <c:minorTickMark val="none"/>
        <c:tickLblPos val="nextTo"/>
        <c:crossAx val="-638067632"/>
        <c:crosses val="autoZero"/>
        <c:auto val="0"/>
        <c:lblOffset val="100"/>
        <c:baseTimeUnit val="months"/>
      </c:dateAx>
      <c:valAx>
        <c:axId val="-638067632"/>
        <c:scaling>
          <c:orientation val="minMax"/>
        </c:scaling>
        <c:delete val="1"/>
        <c:axPos val="l"/>
        <c:numFmt formatCode="#,##0" sourceLinked="1"/>
        <c:majorTickMark val="none"/>
        <c:minorTickMark val="none"/>
        <c:tickLblPos val="nextTo"/>
        <c:crossAx val="-638069808"/>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600" b="0" i="0" u="none" strike="noStrike" kern="1200" baseline="0">
                <a:solidFill>
                  <a:schemeClr val="tx1">
                    <a:lumMod val="65000"/>
                    <a:lumOff val="35000"/>
                  </a:schemeClr>
                </a:solidFill>
                <a:latin typeface="+mn-lt"/>
                <a:ea typeface="+mn-ea"/>
                <a:cs typeface="+mn-cs"/>
              </a:defRPr>
            </a:pPr>
            <a:endParaRPr lang="pt-BR"/>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t-B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702757916241"/>
          <c:y val="0.14247318254895694"/>
          <c:w val="0.84061850586453501"/>
          <c:h val="0.73320704267615833"/>
        </c:manualLayout>
      </c:layout>
      <c:barChart>
        <c:barDir val="col"/>
        <c:grouping val="stacked"/>
        <c:varyColors val="0"/>
        <c:ser>
          <c:idx val="0"/>
          <c:order val="0"/>
          <c:spPr>
            <a:solidFill>
              <a:srgbClr val="5B9BD5"/>
            </a:solidFill>
            <a:ln>
              <a:noFill/>
            </a:ln>
          </c:spPr>
          <c:invertIfNegative val="0"/>
          <c:dPt>
            <c:idx val="0"/>
            <c:invertIfNegative val="0"/>
            <c:bubble3D val="0"/>
            <c:extLst>
              <c:ext xmlns:c16="http://schemas.microsoft.com/office/drawing/2014/chart" uri="{C3380CC4-5D6E-409C-BE32-E72D297353CC}">
                <c16:uniqueId val="{00000000-B8FE-4D39-9F98-E074349F6FEB}"/>
              </c:ext>
            </c:extLst>
          </c:dPt>
          <c:dPt>
            <c:idx val="1"/>
            <c:invertIfNegative val="0"/>
            <c:bubble3D val="0"/>
            <c:extLst>
              <c:ext xmlns:c16="http://schemas.microsoft.com/office/drawing/2014/chart" uri="{C3380CC4-5D6E-409C-BE32-E72D297353CC}">
                <c16:uniqueId val="{00000001-B8FE-4D39-9F98-E074349F6FEB}"/>
              </c:ext>
            </c:extLst>
          </c:dPt>
          <c:dPt>
            <c:idx val="2"/>
            <c:invertIfNegative val="0"/>
            <c:bubble3D val="0"/>
            <c:extLst>
              <c:ext xmlns:c16="http://schemas.microsoft.com/office/drawing/2014/chart" uri="{C3380CC4-5D6E-409C-BE32-E72D297353CC}">
                <c16:uniqueId val="{00000002-B8FE-4D39-9F98-E074349F6FEB}"/>
              </c:ext>
            </c:extLst>
          </c:dPt>
          <c:dPt>
            <c:idx val="3"/>
            <c:invertIfNegative val="0"/>
            <c:bubble3D val="0"/>
            <c:extLst>
              <c:ext xmlns:c16="http://schemas.microsoft.com/office/drawing/2014/chart" uri="{C3380CC4-5D6E-409C-BE32-E72D297353CC}">
                <c16:uniqueId val="{00000003-B8FE-4D39-9F98-E074349F6FEB}"/>
              </c:ext>
            </c:extLst>
          </c:dPt>
          <c:dPt>
            <c:idx val="4"/>
            <c:invertIfNegative val="0"/>
            <c:bubble3D val="0"/>
            <c:extLst>
              <c:ext xmlns:c16="http://schemas.microsoft.com/office/drawing/2014/chart" uri="{C3380CC4-5D6E-409C-BE32-E72D297353CC}">
                <c16:uniqueId val="{00000004-B8FE-4D39-9F98-E074349F6FEB}"/>
              </c:ext>
            </c:extLst>
          </c:dPt>
          <c:dPt>
            <c:idx val="5"/>
            <c:invertIfNegative val="0"/>
            <c:bubble3D val="0"/>
            <c:extLst>
              <c:ext xmlns:c16="http://schemas.microsoft.com/office/drawing/2014/chart" uri="{C3380CC4-5D6E-409C-BE32-E72D297353CC}">
                <c16:uniqueId val="{00000005-B8FE-4D39-9F98-E074349F6FEB}"/>
              </c:ext>
            </c:extLst>
          </c:dPt>
          <c:dPt>
            <c:idx val="6"/>
            <c:invertIfNegative val="0"/>
            <c:bubble3D val="0"/>
            <c:extLst>
              <c:ext xmlns:c16="http://schemas.microsoft.com/office/drawing/2014/chart" uri="{C3380CC4-5D6E-409C-BE32-E72D297353CC}">
                <c16:uniqueId val="{00000006-B8FE-4D39-9F98-E074349F6FEB}"/>
              </c:ext>
            </c:extLst>
          </c:dPt>
          <c:dPt>
            <c:idx val="7"/>
            <c:invertIfNegative val="0"/>
            <c:bubble3D val="0"/>
            <c:extLst>
              <c:ext xmlns:c16="http://schemas.microsoft.com/office/drawing/2014/chart" uri="{C3380CC4-5D6E-409C-BE32-E72D297353CC}">
                <c16:uniqueId val="{00000007-B8FE-4D39-9F98-E074349F6FEB}"/>
              </c:ext>
            </c:extLst>
          </c:dPt>
          <c:dPt>
            <c:idx val="8"/>
            <c:invertIfNegative val="0"/>
            <c:bubble3D val="0"/>
            <c:extLst>
              <c:ext xmlns:c16="http://schemas.microsoft.com/office/drawing/2014/chart" uri="{C3380CC4-5D6E-409C-BE32-E72D297353CC}">
                <c16:uniqueId val="{00000008-B8FE-4D39-9F98-E074349F6FEB}"/>
              </c:ext>
            </c:extLst>
          </c:dPt>
          <c:dPt>
            <c:idx val="9"/>
            <c:invertIfNegative val="0"/>
            <c:bubble3D val="0"/>
            <c:extLst>
              <c:ext xmlns:c16="http://schemas.microsoft.com/office/drawing/2014/chart" uri="{C3380CC4-5D6E-409C-BE32-E72D297353CC}">
                <c16:uniqueId val="{00000009-B8FE-4D39-9F98-E074349F6FEB}"/>
              </c:ext>
            </c:extLst>
          </c:dPt>
          <c:dPt>
            <c:idx val="10"/>
            <c:invertIfNegative val="0"/>
            <c:bubble3D val="0"/>
            <c:extLst>
              <c:ext xmlns:c16="http://schemas.microsoft.com/office/drawing/2014/chart" uri="{C3380CC4-5D6E-409C-BE32-E72D297353CC}">
                <c16:uniqueId val="{0000000A-B8FE-4D39-9F98-E074349F6FEB}"/>
              </c:ext>
            </c:extLst>
          </c:dPt>
          <c:dPt>
            <c:idx val="11"/>
            <c:invertIfNegative val="0"/>
            <c:bubble3D val="0"/>
            <c:extLst>
              <c:ext xmlns:c16="http://schemas.microsoft.com/office/drawing/2014/chart" uri="{C3380CC4-5D6E-409C-BE32-E72D297353CC}">
                <c16:uniqueId val="{0000000B-B8FE-4D39-9F98-E074349F6FEB}"/>
              </c:ext>
            </c:extLst>
          </c:dPt>
          <c:dLbls>
            <c:dLbl>
              <c:idx val="0"/>
              <c:layout>
                <c:manualLayout>
                  <c:x val="0"/>
                  <c:y val="-0.42851010081651592"/>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0-B8FE-4D39-9F98-E074349F6FEB}"/>
                </c:ext>
              </c:extLst>
            </c:dLbl>
            <c:dLbl>
              <c:idx val="1"/>
              <c:layout>
                <c:manualLayout>
                  <c:x val="-1.6930100812751485E-3"/>
                  <c:y val="-0.42543615896782067"/>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1-B8FE-4D39-9F98-E074349F6FEB}"/>
                </c:ext>
              </c:extLst>
            </c:dLbl>
            <c:dLbl>
              <c:idx val="2"/>
              <c:layout>
                <c:manualLayout>
                  <c:x val="0"/>
                  <c:y val="-0.43162113156020965"/>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2-B8FE-4D39-9F98-E074349F6FEB}"/>
                </c:ext>
              </c:extLst>
            </c:dLbl>
            <c:dLbl>
              <c:idx val="3"/>
              <c:layout>
                <c:manualLayout>
                  <c:x val="0"/>
                  <c:y val="-0.43081868494354014"/>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3-B8FE-4D39-9F98-E074349F6FEB}"/>
                </c:ext>
              </c:extLst>
            </c:dLbl>
            <c:dLbl>
              <c:idx val="4"/>
              <c:layout>
                <c:manualLayout>
                  <c:x val="0"/>
                  <c:y val="-0.41831458703197566"/>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4-B8FE-4D39-9F98-E074349F6FEB}"/>
                </c:ext>
              </c:extLst>
            </c:dLbl>
            <c:dLbl>
              <c:idx val="5"/>
              <c:layout>
                <c:manualLayout>
                  <c:x val="0"/>
                  <c:y val="-0.44220310038857447"/>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5-B8FE-4D39-9F98-E074349F6FEB}"/>
                </c:ext>
              </c:extLst>
            </c:dLbl>
            <c:dLbl>
              <c:idx val="6"/>
              <c:layout>
                <c:manualLayout>
                  <c:x val="0"/>
                  <c:y val="-0.43455404125103209"/>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6-B8FE-4D39-9F98-E074349F6FEB}"/>
                </c:ext>
              </c:extLst>
            </c:dLbl>
            <c:dLbl>
              <c:idx val="7"/>
              <c:layout>
                <c:manualLayout>
                  <c:x val="0"/>
                  <c:y val="-0.44018064083961622"/>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7-B8FE-4D39-9F98-E074349F6FEB}"/>
                </c:ext>
              </c:extLst>
            </c:dLbl>
            <c:dLbl>
              <c:idx val="8"/>
              <c:layout>
                <c:manualLayout>
                  <c:x val="-3.386020162550297E-3"/>
                  <c:y val="-0.42205377632414964"/>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8-B8FE-4D39-9F98-E074349F6FEB}"/>
                </c:ext>
              </c:extLst>
            </c:dLbl>
            <c:dLbl>
              <c:idx val="9"/>
              <c:layout>
                <c:manualLayout>
                  <c:x val="0"/>
                  <c:y val="-0.42962955781335888"/>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9-B8FE-4D39-9F98-E074349F6FEB}"/>
                </c:ext>
              </c:extLst>
            </c:dLbl>
            <c:dLbl>
              <c:idx val="10"/>
              <c:layout>
                <c:manualLayout>
                  <c:x val="-6.772040325100594E-3"/>
                  <c:y val="-0.42699404263992535"/>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A-B8FE-4D39-9F98-E074349F6FEB}"/>
                </c:ext>
              </c:extLst>
            </c:dLbl>
            <c:dLbl>
              <c:idx val="11"/>
              <c:layout>
                <c:manualLayout>
                  <c:x val="-1.6930100812750245E-3"/>
                  <c:y val="-0.42864876467413093"/>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B-B8FE-4D39-9F98-E074349F6FEB}"/>
                </c:ext>
              </c:extLst>
            </c:dLbl>
            <c:dLbl>
              <c:idx val="12"/>
              <c:layout>
                <c:manualLayout>
                  <c:x val="-1.5171222558781545E-3"/>
                  <c:y val="-0.43414814469053398"/>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C-B8FE-4D39-9F98-E074349F6FEB}"/>
                </c:ext>
              </c:extLst>
            </c:dLbl>
            <c:dLbl>
              <c:idx val="13"/>
              <c:layout>
                <c:manualLayout>
                  <c:x val="0"/>
                  <c:y val="-0.41810396317280335"/>
                </c:manualLayout>
              </c:layout>
              <c:dLblPos val="ctr"/>
              <c:showLegendKey val="0"/>
              <c:showVal val="1"/>
              <c:showCatName val="0"/>
              <c:showSerName val="0"/>
              <c:showPercent val="0"/>
              <c:showBubbleSize val="1"/>
              <c:extLst>
                <c:ext xmlns:c15="http://schemas.microsoft.com/office/drawing/2012/chart" uri="{CE6537A1-D6FC-4f65-9D91-7224C49458BB}"/>
                <c:ext xmlns:c16="http://schemas.microsoft.com/office/drawing/2014/chart" uri="{C3380CC4-5D6E-409C-BE32-E72D297353CC}">
                  <c16:uniqueId val="{0000000D-B8FE-4D39-9F98-E074349F6FEB}"/>
                </c:ext>
              </c:extLst>
            </c:dLbl>
            <c:numFmt formatCode="0.00%" sourceLinked="0"/>
            <c:spPr>
              <a:noFill/>
              <a:ln>
                <a:noFill/>
              </a:ln>
              <a:effectLst/>
            </c:spPr>
            <c:txPr>
              <a:bodyPr rot="-5400000" vert="horz" anchor="ctr" anchorCtr="0"/>
              <a:lstStyle/>
              <a:p>
                <a:pPr>
                  <a:defRPr sz="1050" b="1">
                    <a:solidFill>
                      <a:sysClr val="windowText" lastClr="000000"/>
                    </a:solidFill>
                  </a:defRPr>
                </a:pPr>
                <a:endParaRPr lang="pt-BR"/>
              </a:p>
            </c:txPr>
            <c:dLblPos val="inEnd"/>
            <c:showLegendKey val="0"/>
            <c:showVal val="1"/>
            <c:showCatName val="0"/>
            <c:showSerName val="0"/>
            <c:showPercent val="0"/>
            <c:showBubbleSize val="1"/>
            <c:showLeaderLines val="0"/>
            <c:extLst>
              <c:ext xmlns:c15="http://schemas.microsoft.com/office/drawing/2012/chart" uri="{CE6537A1-D6FC-4f65-9D91-7224C49458BB}">
                <c15:showLeaderLines val="0"/>
              </c:ext>
            </c:extLst>
          </c:dLbls>
          <c:cat>
            <c:numRef>
              <c:f>'SLA Rede'!$A$8:$A$19</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'SLA Rede'!$B$8:$B$19</c:f>
              <c:numCache>
                <c:formatCode>0.00%</c:formatCode>
                <c:ptCount val="12"/>
                <c:pt idx="0">
                  <c:v>0.99860000000000004</c:v>
                </c:pt>
                <c:pt idx="1">
                  <c:v>0.98909999999999998</c:v>
                </c:pt>
                <c:pt idx="2">
                  <c:v>0.98319999999999996</c:v>
                </c:pt>
                <c:pt idx="3">
                  <c:v>0.99350000000000005</c:v>
                </c:pt>
                <c:pt idx="4">
                  <c:v>0.99780000000000002</c:v>
                </c:pt>
                <c:pt idx="5">
                  <c:v>0.99919999999999998</c:v>
                </c:pt>
                <c:pt idx="6">
                  <c:v>0.99880000000000002</c:v>
                </c:pt>
                <c:pt idx="7">
                  <c:v>0.99850000000000005</c:v>
                </c:pt>
                <c:pt idx="8">
                  <c:v>0.99860000000000004</c:v>
                </c:pt>
                <c:pt idx="9">
                  <c:v>0.99519999999999997</c:v>
                </c:pt>
                <c:pt idx="10">
                  <c:v>0.99160000000000004</c:v>
                </c:pt>
                <c:pt idx="11">
                  <c:v>0.99864050000000004</c:v>
                </c:pt>
              </c:numCache>
            </c:numRef>
          </c:val>
          <c:extLst>
            <c:ext xmlns:c16="http://schemas.microsoft.com/office/drawing/2014/chart" uri="{C3380CC4-5D6E-409C-BE32-E72D297353CC}">
              <c16:uniqueId val="{0000000E-B8FE-4D39-9F98-E074349F6FEB}"/>
            </c:ext>
          </c:extLst>
        </c:ser>
        <c:dLbls>
          <c:showLegendKey val="0"/>
          <c:showVal val="0"/>
          <c:showCatName val="0"/>
          <c:showSerName val="0"/>
          <c:showPercent val="0"/>
          <c:showBubbleSize val="0"/>
        </c:dLbls>
        <c:gapWidth val="150"/>
        <c:overlap val="100"/>
        <c:axId val="298408320"/>
        <c:axId val="298395264"/>
      </c:barChart>
      <c:dateAx>
        <c:axId val="298408320"/>
        <c:scaling>
          <c:orientation val="minMax"/>
        </c:scaling>
        <c:delete val="0"/>
        <c:axPos val="b"/>
        <c:numFmt formatCode="mmm\-yy" sourceLinked="1"/>
        <c:majorTickMark val="out"/>
        <c:minorTickMark val="none"/>
        <c:tickLblPos val="nextTo"/>
        <c:spPr>
          <a:ln w="9360">
            <a:solidFill>
              <a:srgbClr val="D9D9D9"/>
            </a:solidFill>
            <a:round/>
          </a:ln>
        </c:spPr>
        <c:txPr>
          <a:bodyPr/>
          <a:lstStyle/>
          <a:p>
            <a:pPr>
              <a:defRPr sz="900" b="0" strike="noStrike" spc="-1">
                <a:solidFill>
                  <a:srgbClr val="000000"/>
                </a:solidFill>
                <a:latin typeface="Calibri"/>
              </a:defRPr>
            </a:pPr>
            <a:endParaRPr lang="pt-BR"/>
          </a:p>
        </c:txPr>
        <c:crossAx val="298395264"/>
        <c:crossesAt val="0.9"/>
        <c:auto val="1"/>
        <c:lblOffset val="100"/>
        <c:baseTimeUnit val="months"/>
      </c:dateAx>
      <c:valAx>
        <c:axId val="298395264"/>
        <c:scaling>
          <c:orientation val="minMax"/>
          <c:max val="1"/>
          <c:min val="0.9"/>
        </c:scaling>
        <c:delete val="0"/>
        <c:axPos val="l"/>
        <c:title>
          <c:tx>
            <c:rich>
              <a:bodyPr rot="-5400000"/>
              <a:lstStyle/>
              <a:p>
                <a:pPr>
                  <a:defRPr sz="1000" b="1" strike="noStrike" spc="-1">
                    <a:solidFill>
                      <a:srgbClr val="000000"/>
                    </a:solidFill>
                    <a:latin typeface="Calibri"/>
                  </a:defRPr>
                </a:pPr>
                <a:r>
                  <a:rPr lang="pt-BR" sz="1000" b="1" strike="noStrike" spc="-1">
                    <a:solidFill>
                      <a:srgbClr val="000000"/>
                    </a:solidFill>
                    <a:latin typeface="Calibri"/>
                  </a:rPr>
                  <a:t>% SLA</a:t>
                </a:r>
              </a:p>
            </c:rich>
          </c:tx>
          <c:overlay val="0"/>
          <c:spPr>
            <a:noFill/>
            <a:ln>
              <a:noFill/>
            </a:ln>
          </c:spPr>
        </c:title>
        <c:numFmt formatCode="0.0%" sourceLinked="0"/>
        <c:majorTickMark val="none"/>
        <c:minorTickMark val="none"/>
        <c:tickLblPos val="nextTo"/>
        <c:spPr>
          <a:ln w="6480">
            <a:noFill/>
          </a:ln>
        </c:spPr>
        <c:txPr>
          <a:bodyPr/>
          <a:lstStyle/>
          <a:p>
            <a:pPr>
              <a:defRPr sz="900" b="0" strike="noStrike" spc="-1">
                <a:solidFill>
                  <a:srgbClr val="000000"/>
                </a:solidFill>
                <a:latin typeface="Calibri"/>
              </a:defRPr>
            </a:pPr>
            <a:endParaRPr lang="pt-BR"/>
          </a:p>
        </c:txPr>
        <c:crossAx val="298408320"/>
        <c:crosses val="autoZero"/>
        <c:crossBetween val="between"/>
        <c:majorUnit val="5.000000000000001E-3"/>
      </c:valAx>
      <c:spPr>
        <a:noFill/>
        <a:ln>
          <a:noFill/>
        </a:ln>
      </c:spPr>
    </c:plotArea>
    <c:plotVisOnly val="1"/>
    <c:dispBlanksAs val="gap"/>
    <c:showDLblsOverMax val="1"/>
  </c:chart>
  <c:spPr>
    <a:solidFill>
      <a:srgbClr val="FFFFFF"/>
    </a:solidFill>
    <a:ln w="9360">
      <a:noFill/>
    </a:ln>
  </c:sp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5551001885242843E-2"/>
          <c:y val="0.18075245523845582"/>
          <c:w val="0.95885928609523385"/>
          <c:h val="0.70213682072795258"/>
        </c:manualLayout>
      </c:layout>
      <c:lineChart>
        <c:grouping val="stacked"/>
        <c:varyColors val="0"/>
        <c:ser>
          <c:idx val="0"/>
          <c:order val="0"/>
          <c:tx>
            <c:strRef>
              <c:f>'[Grafico Rel. Adm..xlsx]Gráfico 2'!$B$3:$B$4</c:f>
              <c:strCache>
                <c:ptCount val="2"/>
                <c:pt idx="0">
                  <c:v>Colaboradores</c:v>
                </c:pt>
                <c:pt idx="1">
                  <c:v>Quantidade</c:v>
                </c:pt>
              </c:strCache>
            </c:strRef>
          </c:tx>
          <c:spPr>
            <a:ln w="22225" cap="rnd" cmpd="sng" algn="ctr">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pt-B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'[Grafico Rel. Adm..xlsx]Gráfico 2'!$A$5:$A$16</c:f>
              <c:numCache>
                <c:formatCode>mmm\-yy</c:formatCode>
                <c:ptCount val="12"/>
                <c:pt idx="0">
                  <c:v>44927</c:v>
                </c:pt>
                <c:pt idx="1">
                  <c:v>44958</c:v>
                </c:pt>
                <c:pt idx="2">
                  <c:v>44986</c:v>
                </c:pt>
                <c:pt idx="3">
                  <c:v>45017</c:v>
                </c:pt>
                <c:pt idx="4">
                  <c:v>45047</c:v>
                </c:pt>
                <c:pt idx="5">
                  <c:v>45078</c:v>
                </c:pt>
                <c:pt idx="6">
                  <c:v>45108</c:v>
                </c:pt>
                <c:pt idx="7">
                  <c:v>45139</c:v>
                </c:pt>
                <c:pt idx="8">
                  <c:v>45170</c:v>
                </c:pt>
                <c:pt idx="9">
                  <c:v>45200</c:v>
                </c:pt>
                <c:pt idx="10">
                  <c:v>45231</c:v>
                </c:pt>
                <c:pt idx="11">
                  <c:v>45261</c:v>
                </c:pt>
              </c:numCache>
            </c:numRef>
          </c:cat>
          <c:val>
            <c:numRef>
              <c:f>'[Grafico Rel. Adm..xlsx]Gráfico 2'!$B$5:$B$16</c:f>
              <c:numCache>
                <c:formatCode>General</c:formatCode>
                <c:ptCount val="12"/>
                <c:pt idx="0">
                  <c:v>474</c:v>
                </c:pt>
                <c:pt idx="1">
                  <c:v>475</c:v>
                </c:pt>
                <c:pt idx="2">
                  <c:v>477</c:v>
                </c:pt>
                <c:pt idx="3">
                  <c:v>473</c:v>
                </c:pt>
                <c:pt idx="4">
                  <c:v>472</c:v>
                </c:pt>
                <c:pt idx="5">
                  <c:v>474</c:v>
                </c:pt>
                <c:pt idx="6">
                  <c:v>474</c:v>
                </c:pt>
                <c:pt idx="7">
                  <c:v>471</c:v>
                </c:pt>
                <c:pt idx="8">
                  <c:v>469</c:v>
                </c:pt>
                <c:pt idx="9">
                  <c:v>472</c:v>
                </c:pt>
                <c:pt idx="10">
                  <c:v>470</c:v>
                </c:pt>
                <c:pt idx="11">
                  <c:v>467</c:v>
                </c:pt>
              </c:numCache>
            </c:numRef>
          </c:val>
          <c:smooth val="1"/>
          <c:extLst>
            <c:ext xmlns:c16="http://schemas.microsoft.com/office/drawing/2014/chart" uri="{C3380CC4-5D6E-409C-BE32-E72D297353CC}">
              <c16:uniqueId val="{00000000-EFDB-4A2C-B81C-7592082D4235}"/>
            </c:ext>
          </c:extLst>
        </c:ser>
        <c:dLbls>
          <c:dLblPos val="t"/>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56525520"/>
        <c:axId val="356526080"/>
      </c:lineChart>
      <c:dateAx>
        <c:axId val="356525520"/>
        <c:scaling>
          <c:orientation val="minMax"/>
        </c:scaling>
        <c:delete val="0"/>
        <c:axPos val="b"/>
        <c:numFmt formatCode="mmm\-yy"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t-BR"/>
          </a:p>
        </c:txPr>
        <c:crossAx val="356526080"/>
        <c:crosses val="autoZero"/>
        <c:auto val="1"/>
        <c:lblOffset val="100"/>
        <c:baseTimeUnit val="months"/>
      </c:dateAx>
      <c:valAx>
        <c:axId val="3565260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pt-BR"/>
          </a:p>
        </c:txPr>
        <c:crossAx val="356525520"/>
        <c:crosses val="autoZero"/>
        <c:crossBetween val="between"/>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bg1"/>
      </a:solidFill>
      <a:round/>
    </a:ln>
    <a:effectLst/>
  </c:spPr>
  <c:txPr>
    <a:bodyPr/>
    <a:lstStyle/>
    <a:p>
      <a:pPr>
        <a:defRPr/>
      </a:pPr>
      <a:endParaRPr lang="pt-B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drawings/drawing1.xml><?xml version="1.0" encoding="utf-8"?>
<c:userShapes xmlns:c="http://schemas.openxmlformats.org/drawingml/2006/chart">
  <cdr:relSizeAnchor xmlns:cdr="http://schemas.openxmlformats.org/drawingml/2006/chartDrawing">
    <cdr:from>
      <cdr:x>0.13178</cdr:x>
      <cdr:y>0.18296</cdr:y>
    </cdr:from>
    <cdr:to>
      <cdr:x>0.94891</cdr:x>
      <cdr:y>0.18759</cdr:y>
    </cdr:to>
    <cdr:cxnSp macro="">
      <cdr:nvCxnSpPr>
        <cdr:cNvPr id="3" name="Conector reto 2">
          <a:extLst xmlns:a="http://schemas.openxmlformats.org/drawingml/2006/main">
            <a:ext uri="{FF2B5EF4-FFF2-40B4-BE49-F238E27FC236}">
              <a16:creationId xmlns:a16="http://schemas.microsoft.com/office/drawing/2014/main" id="{5B2EF43B-5B17-4592-8DA9-27777770EDCD}"/>
            </a:ext>
          </a:extLst>
        </cdr:cNvPr>
        <cdr:cNvCxnSpPr/>
      </cdr:nvCxnSpPr>
      <cdr:spPr>
        <a:xfrm xmlns:a="http://schemas.openxmlformats.org/drawingml/2006/main" flipV="1">
          <a:off x="988563" y="885275"/>
          <a:ext cx="6129645" cy="22402"/>
        </a:xfrm>
        <a:prstGeom xmlns:a="http://schemas.openxmlformats.org/drawingml/2006/main" prst="line">
          <a:avLst/>
        </a:prstGeom>
        <a:ln xmlns:a="http://schemas.openxmlformats.org/drawingml/2006/main" w="22225">
          <a:solidFill>
            <a:srgbClr val="FFC000"/>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0.01026</cdr:x>
      <cdr:y>0.93974</cdr:y>
    </cdr:from>
    <cdr:to>
      <cdr:x>0.13216</cdr:x>
      <cdr:y>1</cdr:y>
    </cdr:to>
    <cdr:sp macro="" textlink="">
      <cdr:nvSpPr>
        <cdr:cNvPr id="6" name="CaixaDeTexto 5"/>
        <cdr:cNvSpPr txBox="1"/>
      </cdr:nvSpPr>
      <cdr:spPr>
        <a:xfrm xmlns:a="http://schemas.openxmlformats.org/drawingml/2006/main">
          <a:off x="59087" y="3470610"/>
          <a:ext cx="702232" cy="22255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r>
            <a:rPr lang="pt-BR" sz="1000" b="1"/>
            <a:t>Fonte: DTO</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Proposta de Modelo para Nvos Negócis</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D18A7C92F09A784AA05C3F5635716AF6" ma:contentTypeVersion="4" ma:contentTypeDescription="Crie um novo documento." ma:contentTypeScope="" ma:versionID="8638c56ecd6e05be922605f4f612e447">
  <xsd:schema xmlns:xsd="http://www.w3.org/2001/XMLSchema" xmlns:xs="http://www.w3.org/2001/XMLSchema" xmlns:p="http://schemas.microsoft.com/office/2006/metadata/properties" xmlns:ns2="034672aa-f560-46e3-8b3c-aa57edd94028" targetNamespace="http://schemas.microsoft.com/office/2006/metadata/properties" ma:root="true" ma:fieldsID="f0fd11161be8e3dd98c40ba254aa0697" ns2:_="">
    <xsd:import namespace="034672aa-f560-46e3-8b3c-aa57edd9402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4672aa-f560-46e3-8b3c-aa57edd940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501CA30-7783-4501-B2CF-DDAA9049541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4672aa-f560-46e3-8b3c-aa57edd940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687A139-6D3C-40AC-B75A-00F3915893EF}">
  <ds:schemaRefs>
    <ds:schemaRef ds:uri="http://schemas.openxmlformats.org/officeDocument/2006/bibliography"/>
  </ds:schemaRefs>
</ds:datastoreItem>
</file>

<file path=customXml/itemProps4.xml><?xml version="1.0" encoding="utf-8"?>
<ds:datastoreItem xmlns:ds="http://schemas.openxmlformats.org/officeDocument/2006/customXml" ds:itemID="{450C6AD0-3778-4DC1-AACF-98A17C0F9040}">
  <ds:schemaRefs>
    <ds:schemaRef ds:uri="http://www.w3.org/XML/1998/namespace"/>
    <ds:schemaRef ds:uri="034672aa-f560-46e3-8b3c-aa57edd94028"/>
    <ds:schemaRef ds:uri="http://purl.org/dc/elements/1.1/"/>
    <ds:schemaRef ds:uri="http://schemas.microsoft.com/office/2006/metadata/properties"/>
    <ds:schemaRef ds:uri="http://purl.org/dc/terms/"/>
    <ds:schemaRef ds:uri="http://purl.org/dc/dcmitype/"/>
    <ds:schemaRef ds:uri="http://schemas.microsoft.com/office/infopath/2007/PartnerControls"/>
    <ds:schemaRef ds:uri="http://schemas.microsoft.com/office/2006/documentManagement/types"/>
    <ds:schemaRef ds:uri="http://schemas.openxmlformats.org/package/2006/metadata/core-properties"/>
  </ds:schemaRefs>
</ds:datastoreItem>
</file>

<file path=customXml/itemProps5.xml><?xml version="1.0" encoding="utf-8"?>
<ds:datastoreItem xmlns:ds="http://schemas.openxmlformats.org/officeDocument/2006/customXml" ds:itemID="{656F8617-BB53-49E5-8333-4D54F8500D1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Teses e Dissertações</Template>
  <TotalTime>1</TotalTime>
  <Pages>50</Pages>
  <Words>13964</Words>
  <Characters>87040</Characters>
  <Application>Microsoft Office Word</Application>
  <DocSecurity>0</DocSecurity>
  <Lines>725</Lines>
  <Paragraphs>201</Paragraphs>
  <ScaleCrop>false</ScaleCrop>
  <HeadingPairs>
    <vt:vector size="2" baseType="variant">
      <vt:variant>
        <vt:lpstr>Título</vt:lpstr>
      </vt:variant>
      <vt:variant>
        <vt:i4>1</vt:i4>
      </vt:variant>
    </vt:vector>
  </HeadingPairs>
  <TitlesOfParts>
    <vt:vector size="1" baseType="lpstr">
      <vt:lpstr/>
    </vt:vector>
  </TitlesOfParts>
  <Company>Pós Graduação</Company>
  <LinksUpToDate>false</LinksUpToDate>
  <CharactersWithSpaces>100803</CharactersWithSpaces>
  <SharedDoc>false</SharedDoc>
  <HLinks>
    <vt:vector size="486" baseType="variant">
      <vt:variant>
        <vt:i4>1507386</vt:i4>
      </vt:variant>
      <vt:variant>
        <vt:i4>493</vt:i4>
      </vt:variant>
      <vt:variant>
        <vt:i4>0</vt:i4>
      </vt:variant>
      <vt:variant>
        <vt:i4>5</vt:i4>
      </vt:variant>
      <vt:variant>
        <vt:lpwstr/>
      </vt:variant>
      <vt:variant>
        <vt:lpwstr>_Toc95061320</vt:lpwstr>
      </vt:variant>
      <vt:variant>
        <vt:i4>1966137</vt:i4>
      </vt:variant>
      <vt:variant>
        <vt:i4>487</vt:i4>
      </vt:variant>
      <vt:variant>
        <vt:i4>0</vt:i4>
      </vt:variant>
      <vt:variant>
        <vt:i4>5</vt:i4>
      </vt:variant>
      <vt:variant>
        <vt:lpwstr/>
      </vt:variant>
      <vt:variant>
        <vt:lpwstr>_Toc95061319</vt:lpwstr>
      </vt:variant>
      <vt:variant>
        <vt:i4>2031673</vt:i4>
      </vt:variant>
      <vt:variant>
        <vt:i4>481</vt:i4>
      </vt:variant>
      <vt:variant>
        <vt:i4>0</vt:i4>
      </vt:variant>
      <vt:variant>
        <vt:i4>5</vt:i4>
      </vt:variant>
      <vt:variant>
        <vt:lpwstr/>
      </vt:variant>
      <vt:variant>
        <vt:lpwstr>_Toc95061318</vt:lpwstr>
      </vt:variant>
      <vt:variant>
        <vt:i4>1048633</vt:i4>
      </vt:variant>
      <vt:variant>
        <vt:i4>475</vt:i4>
      </vt:variant>
      <vt:variant>
        <vt:i4>0</vt:i4>
      </vt:variant>
      <vt:variant>
        <vt:i4>5</vt:i4>
      </vt:variant>
      <vt:variant>
        <vt:lpwstr/>
      </vt:variant>
      <vt:variant>
        <vt:lpwstr>_Toc95061317</vt:lpwstr>
      </vt:variant>
      <vt:variant>
        <vt:i4>1114169</vt:i4>
      </vt:variant>
      <vt:variant>
        <vt:i4>469</vt:i4>
      </vt:variant>
      <vt:variant>
        <vt:i4>0</vt:i4>
      </vt:variant>
      <vt:variant>
        <vt:i4>5</vt:i4>
      </vt:variant>
      <vt:variant>
        <vt:lpwstr/>
      </vt:variant>
      <vt:variant>
        <vt:lpwstr>_Toc95061316</vt:lpwstr>
      </vt:variant>
      <vt:variant>
        <vt:i4>1179705</vt:i4>
      </vt:variant>
      <vt:variant>
        <vt:i4>463</vt:i4>
      </vt:variant>
      <vt:variant>
        <vt:i4>0</vt:i4>
      </vt:variant>
      <vt:variant>
        <vt:i4>5</vt:i4>
      </vt:variant>
      <vt:variant>
        <vt:lpwstr/>
      </vt:variant>
      <vt:variant>
        <vt:lpwstr>_Toc95061315</vt:lpwstr>
      </vt:variant>
      <vt:variant>
        <vt:i4>1245241</vt:i4>
      </vt:variant>
      <vt:variant>
        <vt:i4>457</vt:i4>
      </vt:variant>
      <vt:variant>
        <vt:i4>0</vt:i4>
      </vt:variant>
      <vt:variant>
        <vt:i4>5</vt:i4>
      </vt:variant>
      <vt:variant>
        <vt:lpwstr/>
      </vt:variant>
      <vt:variant>
        <vt:lpwstr>_Toc95061314</vt:lpwstr>
      </vt:variant>
      <vt:variant>
        <vt:i4>1310777</vt:i4>
      </vt:variant>
      <vt:variant>
        <vt:i4>451</vt:i4>
      </vt:variant>
      <vt:variant>
        <vt:i4>0</vt:i4>
      </vt:variant>
      <vt:variant>
        <vt:i4>5</vt:i4>
      </vt:variant>
      <vt:variant>
        <vt:lpwstr/>
      </vt:variant>
      <vt:variant>
        <vt:lpwstr>_Toc95061313</vt:lpwstr>
      </vt:variant>
      <vt:variant>
        <vt:i4>1376313</vt:i4>
      </vt:variant>
      <vt:variant>
        <vt:i4>445</vt:i4>
      </vt:variant>
      <vt:variant>
        <vt:i4>0</vt:i4>
      </vt:variant>
      <vt:variant>
        <vt:i4>5</vt:i4>
      </vt:variant>
      <vt:variant>
        <vt:lpwstr/>
      </vt:variant>
      <vt:variant>
        <vt:lpwstr>_Toc95061312</vt:lpwstr>
      </vt:variant>
      <vt:variant>
        <vt:i4>1441849</vt:i4>
      </vt:variant>
      <vt:variant>
        <vt:i4>439</vt:i4>
      </vt:variant>
      <vt:variant>
        <vt:i4>0</vt:i4>
      </vt:variant>
      <vt:variant>
        <vt:i4>5</vt:i4>
      </vt:variant>
      <vt:variant>
        <vt:lpwstr/>
      </vt:variant>
      <vt:variant>
        <vt:lpwstr>_Toc95061311</vt:lpwstr>
      </vt:variant>
      <vt:variant>
        <vt:i4>1507385</vt:i4>
      </vt:variant>
      <vt:variant>
        <vt:i4>433</vt:i4>
      </vt:variant>
      <vt:variant>
        <vt:i4>0</vt:i4>
      </vt:variant>
      <vt:variant>
        <vt:i4>5</vt:i4>
      </vt:variant>
      <vt:variant>
        <vt:lpwstr/>
      </vt:variant>
      <vt:variant>
        <vt:lpwstr>_Toc95061310</vt:lpwstr>
      </vt:variant>
      <vt:variant>
        <vt:i4>1966136</vt:i4>
      </vt:variant>
      <vt:variant>
        <vt:i4>427</vt:i4>
      </vt:variant>
      <vt:variant>
        <vt:i4>0</vt:i4>
      </vt:variant>
      <vt:variant>
        <vt:i4>5</vt:i4>
      </vt:variant>
      <vt:variant>
        <vt:lpwstr/>
      </vt:variant>
      <vt:variant>
        <vt:lpwstr>_Toc95061309</vt:lpwstr>
      </vt:variant>
      <vt:variant>
        <vt:i4>2031672</vt:i4>
      </vt:variant>
      <vt:variant>
        <vt:i4>421</vt:i4>
      </vt:variant>
      <vt:variant>
        <vt:i4>0</vt:i4>
      </vt:variant>
      <vt:variant>
        <vt:i4>5</vt:i4>
      </vt:variant>
      <vt:variant>
        <vt:lpwstr/>
      </vt:variant>
      <vt:variant>
        <vt:lpwstr>_Toc95061308</vt:lpwstr>
      </vt:variant>
      <vt:variant>
        <vt:i4>1048632</vt:i4>
      </vt:variant>
      <vt:variant>
        <vt:i4>415</vt:i4>
      </vt:variant>
      <vt:variant>
        <vt:i4>0</vt:i4>
      </vt:variant>
      <vt:variant>
        <vt:i4>5</vt:i4>
      </vt:variant>
      <vt:variant>
        <vt:lpwstr/>
      </vt:variant>
      <vt:variant>
        <vt:lpwstr>_Toc95061307</vt:lpwstr>
      </vt:variant>
      <vt:variant>
        <vt:i4>1114168</vt:i4>
      </vt:variant>
      <vt:variant>
        <vt:i4>409</vt:i4>
      </vt:variant>
      <vt:variant>
        <vt:i4>0</vt:i4>
      </vt:variant>
      <vt:variant>
        <vt:i4>5</vt:i4>
      </vt:variant>
      <vt:variant>
        <vt:lpwstr/>
      </vt:variant>
      <vt:variant>
        <vt:lpwstr>_Toc95061306</vt:lpwstr>
      </vt:variant>
      <vt:variant>
        <vt:i4>1835065</vt:i4>
      </vt:variant>
      <vt:variant>
        <vt:i4>400</vt:i4>
      </vt:variant>
      <vt:variant>
        <vt:i4>0</vt:i4>
      </vt:variant>
      <vt:variant>
        <vt:i4>5</vt:i4>
      </vt:variant>
      <vt:variant>
        <vt:lpwstr/>
      </vt:variant>
      <vt:variant>
        <vt:lpwstr>_Toc63265789</vt:lpwstr>
      </vt:variant>
      <vt:variant>
        <vt:i4>1900601</vt:i4>
      </vt:variant>
      <vt:variant>
        <vt:i4>394</vt:i4>
      </vt:variant>
      <vt:variant>
        <vt:i4>0</vt:i4>
      </vt:variant>
      <vt:variant>
        <vt:i4>5</vt:i4>
      </vt:variant>
      <vt:variant>
        <vt:lpwstr/>
      </vt:variant>
      <vt:variant>
        <vt:lpwstr>_Toc63265788</vt:lpwstr>
      </vt:variant>
      <vt:variant>
        <vt:i4>1179705</vt:i4>
      </vt:variant>
      <vt:variant>
        <vt:i4>388</vt:i4>
      </vt:variant>
      <vt:variant>
        <vt:i4>0</vt:i4>
      </vt:variant>
      <vt:variant>
        <vt:i4>5</vt:i4>
      </vt:variant>
      <vt:variant>
        <vt:lpwstr/>
      </vt:variant>
      <vt:variant>
        <vt:lpwstr>_Toc63265787</vt:lpwstr>
      </vt:variant>
      <vt:variant>
        <vt:i4>1245241</vt:i4>
      </vt:variant>
      <vt:variant>
        <vt:i4>382</vt:i4>
      </vt:variant>
      <vt:variant>
        <vt:i4>0</vt:i4>
      </vt:variant>
      <vt:variant>
        <vt:i4>5</vt:i4>
      </vt:variant>
      <vt:variant>
        <vt:lpwstr/>
      </vt:variant>
      <vt:variant>
        <vt:lpwstr>_Toc63265786</vt:lpwstr>
      </vt:variant>
      <vt:variant>
        <vt:i4>1048633</vt:i4>
      </vt:variant>
      <vt:variant>
        <vt:i4>376</vt:i4>
      </vt:variant>
      <vt:variant>
        <vt:i4>0</vt:i4>
      </vt:variant>
      <vt:variant>
        <vt:i4>5</vt:i4>
      </vt:variant>
      <vt:variant>
        <vt:lpwstr/>
      </vt:variant>
      <vt:variant>
        <vt:lpwstr>_Toc63265785</vt:lpwstr>
      </vt:variant>
      <vt:variant>
        <vt:i4>1114169</vt:i4>
      </vt:variant>
      <vt:variant>
        <vt:i4>370</vt:i4>
      </vt:variant>
      <vt:variant>
        <vt:i4>0</vt:i4>
      </vt:variant>
      <vt:variant>
        <vt:i4>5</vt:i4>
      </vt:variant>
      <vt:variant>
        <vt:lpwstr/>
      </vt:variant>
      <vt:variant>
        <vt:lpwstr>_Toc63265784</vt:lpwstr>
      </vt:variant>
      <vt:variant>
        <vt:i4>1441849</vt:i4>
      </vt:variant>
      <vt:variant>
        <vt:i4>364</vt:i4>
      </vt:variant>
      <vt:variant>
        <vt:i4>0</vt:i4>
      </vt:variant>
      <vt:variant>
        <vt:i4>5</vt:i4>
      </vt:variant>
      <vt:variant>
        <vt:lpwstr/>
      </vt:variant>
      <vt:variant>
        <vt:lpwstr>_Toc63265783</vt:lpwstr>
      </vt:variant>
      <vt:variant>
        <vt:i4>1507385</vt:i4>
      </vt:variant>
      <vt:variant>
        <vt:i4>355</vt:i4>
      </vt:variant>
      <vt:variant>
        <vt:i4>0</vt:i4>
      </vt:variant>
      <vt:variant>
        <vt:i4>5</vt:i4>
      </vt:variant>
      <vt:variant>
        <vt:lpwstr/>
      </vt:variant>
      <vt:variant>
        <vt:lpwstr>_Toc63265782</vt:lpwstr>
      </vt:variant>
      <vt:variant>
        <vt:i4>1310777</vt:i4>
      </vt:variant>
      <vt:variant>
        <vt:i4>349</vt:i4>
      </vt:variant>
      <vt:variant>
        <vt:i4>0</vt:i4>
      </vt:variant>
      <vt:variant>
        <vt:i4>5</vt:i4>
      </vt:variant>
      <vt:variant>
        <vt:lpwstr/>
      </vt:variant>
      <vt:variant>
        <vt:lpwstr>_Toc63265781</vt:lpwstr>
      </vt:variant>
      <vt:variant>
        <vt:i4>1376313</vt:i4>
      </vt:variant>
      <vt:variant>
        <vt:i4>343</vt:i4>
      </vt:variant>
      <vt:variant>
        <vt:i4>0</vt:i4>
      </vt:variant>
      <vt:variant>
        <vt:i4>5</vt:i4>
      </vt:variant>
      <vt:variant>
        <vt:lpwstr/>
      </vt:variant>
      <vt:variant>
        <vt:lpwstr>_Toc63265780</vt:lpwstr>
      </vt:variant>
      <vt:variant>
        <vt:i4>1835062</vt:i4>
      </vt:variant>
      <vt:variant>
        <vt:i4>337</vt:i4>
      </vt:variant>
      <vt:variant>
        <vt:i4>0</vt:i4>
      </vt:variant>
      <vt:variant>
        <vt:i4>5</vt:i4>
      </vt:variant>
      <vt:variant>
        <vt:lpwstr/>
      </vt:variant>
      <vt:variant>
        <vt:lpwstr>_Toc63265779</vt:lpwstr>
      </vt:variant>
      <vt:variant>
        <vt:i4>1900598</vt:i4>
      </vt:variant>
      <vt:variant>
        <vt:i4>331</vt:i4>
      </vt:variant>
      <vt:variant>
        <vt:i4>0</vt:i4>
      </vt:variant>
      <vt:variant>
        <vt:i4>5</vt:i4>
      </vt:variant>
      <vt:variant>
        <vt:lpwstr/>
      </vt:variant>
      <vt:variant>
        <vt:lpwstr>_Toc63265778</vt:lpwstr>
      </vt:variant>
      <vt:variant>
        <vt:i4>1179702</vt:i4>
      </vt:variant>
      <vt:variant>
        <vt:i4>325</vt:i4>
      </vt:variant>
      <vt:variant>
        <vt:i4>0</vt:i4>
      </vt:variant>
      <vt:variant>
        <vt:i4>5</vt:i4>
      </vt:variant>
      <vt:variant>
        <vt:lpwstr/>
      </vt:variant>
      <vt:variant>
        <vt:lpwstr>_Toc63265777</vt:lpwstr>
      </vt:variant>
      <vt:variant>
        <vt:i4>1245238</vt:i4>
      </vt:variant>
      <vt:variant>
        <vt:i4>319</vt:i4>
      </vt:variant>
      <vt:variant>
        <vt:i4>0</vt:i4>
      </vt:variant>
      <vt:variant>
        <vt:i4>5</vt:i4>
      </vt:variant>
      <vt:variant>
        <vt:lpwstr/>
      </vt:variant>
      <vt:variant>
        <vt:lpwstr>_Toc63265776</vt:lpwstr>
      </vt:variant>
      <vt:variant>
        <vt:i4>1048630</vt:i4>
      </vt:variant>
      <vt:variant>
        <vt:i4>313</vt:i4>
      </vt:variant>
      <vt:variant>
        <vt:i4>0</vt:i4>
      </vt:variant>
      <vt:variant>
        <vt:i4>5</vt:i4>
      </vt:variant>
      <vt:variant>
        <vt:lpwstr/>
      </vt:variant>
      <vt:variant>
        <vt:lpwstr>_Toc63265775</vt:lpwstr>
      </vt:variant>
      <vt:variant>
        <vt:i4>1114166</vt:i4>
      </vt:variant>
      <vt:variant>
        <vt:i4>307</vt:i4>
      </vt:variant>
      <vt:variant>
        <vt:i4>0</vt:i4>
      </vt:variant>
      <vt:variant>
        <vt:i4>5</vt:i4>
      </vt:variant>
      <vt:variant>
        <vt:lpwstr/>
      </vt:variant>
      <vt:variant>
        <vt:lpwstr>_Toc63265774</vt:lpwstr>
      </vt:variant>
      <vt:variant>
        <vt:i4>1572914</vt:i4>
      </vt:variant>
      <vt:variant>
        <vt:i4>296</vt:i4>
      </vt:variant>
      <vt:variant>
        <vt:i4>0</vt:i4>
      </vt:variant>
      <vt:variant>
        <vt:i4>5</vt:i4>
      </vt:variant>
      <vt:variant>
        <vt:lpwstr/>
      </vt:variant>
      <vt:variant>
        <vt:lpwstr>_Toc95122880</vt:lpwstr>
      </vt:variant>
      <vt:variant>
        <vt:i4>1114173</vt:i4>
      </vt:variant>
      <vt:variant>
        <vt:i4>290</vt:i4>
      </vt:variant>
      <vt:variant>
        <vt:i4>0</vt:i4>
      </vt:variant>
      <vt:variant>
        <vt:i4>5</vt:i4>
      </vt:variant>
      <vt:variant>
        <vt:lpwstr/>
      </vt:variant>
      <vt:variant>
        <vt:lpwstr>_Toc95122879</vt:lpwstr>
      </vt:variant>
      <vt:variant>
        <vt:i4>1048637</vt:i4>
      </vt:variant>
      <vt:variant>
        <vt:i4>284</vt:i4>
      </vt:variant>
      <vt:variant>
        <vt:i4>0</vt:i4>
      </vt:variant>
      <vt:variant>
        <vt:i4>5</vt:i4>
      </vt:variant>
      <vt:variant>
        <vt:lpwstr/>
      </vt:variant>
      <vt:variant>
        <vt:lpwstr>_Toc95122878</vt:lpwstr>
      </vt:variant>
      <vt:variant>
        <vt:i4>2031677</vt:i4>
      </vt:variant>
      <vt:variant>
        <vt:i4>278</vt:i4>
      </vt:variant>
      <vt:variant>
        <vt:i4>0</vt:i4>
      </vt:variant>
      <vt:variant>
        <vt:i4>5</vt:i4>
      </vt:variant>
      <vt:variant>
        <vt:lpwstr/>
      </vt:variant>
      <vt:variant>
        <vt:lpwstr>_Toc95122877</vt:lpwstr>
      </vt:variant>
      <vt:variant>
        <vt:i4>1966141</vt:i4>
      </vt:variant>
      <vt:variant>
        <vt:i4>272</vt:i4>
      </vt:variant>
      <vt:variant>
        <vt:i4>0</vt:i4>
      </vt:variant>
      <vt:variant>
        <vt:i4>5</vt:i4>
      </vt:variant>
      <vt:variant>
        <vt:lpwstr/>
      </vt:variant>
      <vt:variant>
        <vt:lpwstr>_Toc95122876</vt:lpwstr>
      </vt:variant>
      <vt:variant>
        <vt:i4>1900605</vt:i4>
      </vt:variant>
      <vt:variant>
        <vt:i4>266</vt:i4>
      </vt:variant>
      <vt:variant>
        <vt:i4>0</vt:i4>
      </vt:variant>
      <vt:variant>
        <vt:i4>5</vt:i4>
      </vt:variant>
      <vt:variant>
        <vt:lpwstr/>
      </vt:variant>
      <vt:variant>
        <vt:lpwstr>_Toc95122875</vt:lpwstr>
      </vt:variant>
      <vt:variant>
        <vt:i4>1835069</vt:i4>
      </vt:variant>
      <vt:variant>
        <vt:i4>260</vt:i4>
      </vt:variant>
      <vt:variant>
        <vt:i4>0</vt:i4>
      </vt:variant>
      <vt:variant>
        <vt:i4>5</vt:i4>
      </vt:variant>
      <vt:variant>
        <vt:lpwstr/>
      </vt:variant>
      <vt:variant>
        <vt:lpwstr>_Toc95122874</vt:lpwstr>
      </vt:variant>
      <vt:variant>
        <vt:i4>1769533</vt:i4>
      </vt:variant>
      <vt:variant>
        <vt:i4>254</vt:i4>
      </vt:variant>
      <vt:variant>
        <vt:i4>0</vt:i4>
      </vt:variant>
      <vt:variant>
        <vt:i4>5</vt:i4>
      </vt:variant>
      <vt:variant>
        <vt:lpwstr/>
      </vt:variant>
      <vt:variant>
        <vt:lpwstr>_Toc95122873</vt:lpwstr>
      </vt:variant>
      <vt:variant>
        <vt:i4>1703997</vt:i4>
      </vt:variant>
      <vt:variant>
        <vt:i4>248</vt:i4>
      </vt:variant>
      <vt:variant>
        <vt:i4>0</vt:i4>
      </vt:variant>
      <vt:variant>
        <vt:i4>5</vt:i4>
      </vt:variant>
      <vt:variant>
        <vt:lpwstr/>
      </vt:variant>
      <vt:variant>
        <vt:lpwstr>_Toc95122872</vt:lpwstr>
      </vt:variant>
      <vt:variant>
        <vt:i4>1638461</vt:i4>
      </vt:variant>
      <vt:variant>
        <vt:i4>242</vt:i4>
      </vt:variant>
      <vt:variant>
        <vt:i4>0</vt:i4>
      </vt:variant>
      <vt:variant>
        <vt:i4>5</vt:i4>
      </vt:variant>
      <vt:variant>
        <vt:lpwstr/>
      </vt:variant>
      <vt:variant>
        <vt:lpwstr>_Toc95122871</vt:lpwstr>
      </vt:variant>
      <vt:variant>
        <vt:i4>1572925</vt:i4>
      </vt:variant>
      <vt:variant>
        <vt:i4>236</vt:i4>
      </vt:variant>
      <vt:variant>
        <vt:i4>0</vt:i4>
      </vt:variant>
      <vt:variant>
        <vt:i4>5</vt:i4>
      </vt:variant>
      <vt:variant>
        <vt:lpwstr/>
      </vt:variant>
      <vt:variant>
        <vt:lpwstr>_Toc95122870</vt:lpwstr>
      </vt:variant>
      <vt:variant>
        <vt:i4>1114172</vt:i4>
      </vt:variant>
      <vt:variant>
        <vt:i4>230</vt:i4>
      </vt:variant>
      <vt:variant>
        <vt:i4>0</vt:i4>
      </vt:variant>
      <vt:variant>
        <vt:i4>5</vt:i4>
      </vt:variant>
      <vt:variant>
        <vt:lpwstr/>
      </vt:variant>
      <vt:variant>
        <vt:lpwstr>_Toc95122869</vt:lpwstr>
      </vt:variant>
      <vt:variant>
        <vt:i4>1048636</vt:i4>
      </vt:variant>
      <vt:variant>
        <vt:i4>224</vt:i4>
      </vt:variant>
      <vt:variant>
        <vt:i4>0</vt:i4>
      </vt:variant>
      <vt:variant>
        <vt:i4>5</vt:i4>
      </vt:variant>
      <vt:variant>
        <vt:lpwstr/>
      </vt:variant>
      <vt:variant>
        <vt:lpwstr>_Toc95122868</vt:lpwstr>
      </vt:variant>
      <vt:variant>
        <vt:i4>2031676</vt:i4>
      </vt:variant>
      <vt:variant>
        <vt:i4>218</vt:i4>
      </vt:variant>
      <vt:variant>
        <vt:i4>0</vt:i4>
      </vt:variant>
      <vt:variant>
        <vt:i4>5</vt:i4>
      </vt:variant>
      <vt:variant>
        <vt:lpwstr/>
      </vt:variant>
      <vt:variant>
        <vt:lpwstr>_Toc95122867</vt:lpwstr>
      </vt:variant>
      <vt:variant>
        <vt:i4>1966140</vt:i4>
      </vt:variant>
      <vt:variant>
        <vt:i4>212</vt:i4>
      </vt:variant>
      <vt:variant>
        <vt:i4>0</vt:i4>
      </vt:variant>
      <vt:variant>
        <vt:i4>5</vt:i4>
      </vt:variant>
      <vt:variant>
        <vt:lpwstr/>
      </vt:variant>
      <vt:variant>
        <vt:lpwstr>_Toc95122866</vt:lpwstr>
      </vt:variant>
      <vt:variant>
        <vt:i4>1900604</vt:i4>
      </vt:variant>
      <vt:variant>
        <vt:i4>206</vt:i4>
      </vt:variant>
      <vt:variant>
        <vt:i4>0</vt:i4>
      </vt:variant>
      <vt:variant>
        <vt:i4>5</vt:i4>
      </vt:variant>
      <vt:variant>
        <vt:lpwstr/>
      </vt:variant>
      <vt:variant>
        <vt:lpwstr>_Toc95122865</vt:lpwstr>
      </vt:variant>
      <vt:variant>
        <vt:i4>1835068</vt:i4>
      </vt:variant>
      <vt:variant>
        <vt:i4>200</vt:i4>
      </vt:variant>
      <vt:variant>
        <vt:i4>0</vt:i4>
      </vt:variant>
      <vt:variant>
        <vt:i4>5</vt:i4>
      </vt:variant>
      <vt:variant>
        <vt:lpwstr/>
      </vt:variant>
      <vt:variant>
        <vt:lpwstr>_Toc95122864</vt:lpwstr>
      </vt:variant>
      <vt:variant>
        <vt:i4>1769532</vt:i4>
      </vt:variant>
      <vt:variant>
        <vt:i4>194</vt:i4>
      </vt:variant>
      <vt:variant>
        <vt:i4>0</vt:i4>
      </vt:variant>
      <vt:variant>
        <vt:i4>5</vt:i4>
      </vt:variant>
      <vt:variant>
        <vt:lpwstr/>
      </vt:variant>
      <vt:variant>
        <vt:lpwstr>_Toc95122863</vt:lpwstr>
      </vt:variant>
      <vt:variant>
        <vt:i4>1703996</vt:i4>
      </vt:variant>
      <vt:variant>
        <vt:i4>188</vt:i4>
      </vt:variant>
      <vt:variant>
        <vt:i4>0</vt:i4>
      </vt:variant>
      <vt:variant>
        <vt:i4>5</vt:i4>
      </vt:variant>
      <vt:variant>
        <vt:lpwstr/>
      </vt:variant>
      <vt:variant>
        <vt:lpwstr>_Toc95122862</vt:lpwstr>
      </vt:variant>
      <vt:variant>
        <vt:i4>1638460</vt:i4>
      </vt:variant>
      <vt:variant>
        <vt:i4>182</vt:i4>
      </vt:variant>
      <vt:variant>
        <vt:i4>0</vt:i4>
      </vt:variant>
      <vt:variant>
        <vt:i4>5</vt:i4>
      </vt:variant>
      <vt:variant>
        <vt:lpwstr/>
      </vt:variant>
      <vt:variant>
        <vt:lpwstr>_Toc95122861</vt:lpwstr>
      </vt:variant>
      <vt:variant>
        <vt:i4>1572924</vt:i4>
      </vt:variant>
      <vt:variant>
        <vt:i4>176</vt:i4>
      </vt:variant>
      <vt:variant>
        <vt:i4>0</vt:i4>
      </vt:variant>
      <vt:variant>
        <vt:i4>5</vt:i4>
      </vt:variant>
      <vt:variant>
        <vt:lpwstr/>
      </vt:variant>
      <vt:variant>
        <vt:lpwstr>_Toc95122860</vt:lpwstr>
      </vt:variant>
      <vt:variant>
        <vt:i4>2031679</vt:i4>
      </vt:variant>
      <vt:variant>
        <vt:i4>170</vt:i4>
      </vt:variant>
      <vt:variant>
        <vt:i4>0</vt:i4>
      </vt:variant>
      <vt:variant>
        <vt:i4>5</vt:i4>
      </vt:variant>
      <vt:variant>
        <vt:lpwstr/>
      </vt:variant>
      <vt:variant>
        <vt:lpwstr>_Toc95122857</vt:lpwstr>
      </vt:variant>
      <vt:variant>
        <vt:i4>1966143</vt:i4>
      </vt:variant>
      <vt:variant>
        <vt:i4>164</vt:i4>
      </vt:variant>
      <vt:variant>
        <vt:i4>0</vt:i4>
      </vt:variant>
      <vt:variant>
        <vt:i4>5</vt:i4>
      </vt:variant>
      <vt:variant>
        <vt:lpwstr/>
      </vt:variant>
      <vt:variant>
        <vt:lpwstr>_Toc95122856</vt:lpwstr>
      </vt:variant>
      <vt:variant>
        <vt:i4>1900607</vt:i4>
      </vt:variant>
      <vt:variant>
        <vt:i4>158</vt:i4>
      </vt:variant>
      <vt:variant>
        <vt:i4>0</vt:i4>
      </vt:variant>
      <vt:variant>
        <vt:i4>5</vt:i4>
      </vt:variant>
      <vt:variant>
        <vt:lpwstr/>
      </vt:variant>
      <vt:variant>
        <vt:lpwstr>_Toc95122855</vt:lpwstr>
      </vt:variant>
      <vt:variant>
        <vt:i4>1048638</vt:i4>
      </vt:variant>
      <vt:variant>
        <vt:i4>152</vt:i4>
      </vt:variant>
      <vt:variant>
        <vt:i4>0</vt:i4>
      </vt:variant>
      <vt:variant>
        <vt:i4>5</vt:i4>
      </vt:variant>
      <vt:variant>
        <vt:lpwstr/>
      </vt:variant>
      <vt:variant>
        <vt:lpwstr>_Toc95122848</vt:lpwstr>
      </vt:variant>
      <vt:variant>
        <vt:i4>2031678</vt:i4>
      </vt:variant>
      <vt:variant>
        <vt:i4>146</vt:i4>
      </vt:variant>
      <vt:variant>
        <vt:i4>0</vt:i4>
      </vt:variant>
      <vt:variant>
        <vt:i4>5</vt:i4>
      </vt:variant>
      <vt:variant>
        <vt:lpwstr/>
      </vt:variant>
      <vt:variant>
        <vt:lpwstr>_Toc95122847</vt:lpwstr>
      </vt:variant>
      <vt:variant>
        <vt:i4>1966142</vt:i4>
      </vt:variant>
      <vt:variant>
        <vt:i4>140</vt:i4>
      </vt:variant>
      <vt:variant>
        <vt:i4>0</vt:i4>
      </vt:variant>
      <vt:variant>
        <vt:i4>5</vt:i4>
      </vt:variant>
      <vt:variant>
        <vt:lpwstr/>
      </vt:variant>
      <vt:variant>
        <vt:lpwstr>_Toc95122846</vt:lpwstr>
      </vt:variant>
      <vt:variant>
        <vt:i4>1900606</vt:i4>
      </vt:variant>
      <vt:variant>
        <vt:i4>134</vt:i4>
      </vt:variant>
      <vt:variant>
        <vt:i4>0</vt:i4>
      </vt:variant>
      <vt:variant>
        <vt:i4>5</vt:i4>
      </vt:variant>
      <vt:variant>
        <vt:lpwstr/>
      </vt:variant>
      <vt:variant>
        <vt:lpwstr>_Toc95122845</vt:lpwstr>
      </vt:variant>
      <vt:variant>
        <vt:i4>1835070</vt:i4>
      </vt:variant>
      <vt:variant>
        <vt:i4>128</vt:i4>
      </vt:variant>
      <vt:variant>
        <vt:i4>0</vt:i4>
      </vt:variant>
      <vt:variant>
        <vt:i4>5</vt:i4>
      </vt:variant>
      <vt:variant>
        <vt:lpwstr/>
      </vt:variant>
      <vt:variant>
        <vt:lpwstr>_Toc95122844</vt:lpwstr>
      </vt:variant>
      <vt:variant>
        <vt:i4>1769534</vt:i4>
      </vt:variant>
      <vt:variant>
        <vt:i4>122</vt:i4>
      </vt:variant>
      <vt:variant>
        <vt:i4>0</vt:i4>
      </vt:variant>
      <vt:variant>
        <vt:i4>5</vt:i4>
      </vt:variant>
      <vt:variant>
        <vt:lpwstr/>
      </vt:variant>
      <vt:variant>
        <vt:lpwstr>_Toc95122843</vt:lpwstr>
      </vt:variant>
      <vt:variant>
        <vt:i4>1703998</vt:i4>
      </vt:variant>
      <vt:variant>
        <vt:i4>116</vt:i4>
      </vt:variant>
      <vt:variant>
        <vt:i4>0</vt:i4>
      </vt:variant>
      <vt:variant>
        <vt:i4>5</vt:i4>
      </vt:variant>
      <vt:variant>
        <vt:lpwstr/>
      </vt:variant>
      <vt:variant>
        <vt:lpwstr>_Toc95122842</vt:lpwstr>
      </vt:variant>
      <vt:variant>
        <vt:i4>1638462</vt:i4>
      </vt:variant>
      <vt:variant>
        <vt:i4>110</vt:i4>
      </vt:variant>
      <vt:variant>
        <vt:i4>0</vt:i4>
      </vt:variant>
      <vt:variant>
        <vt:i4>5</vt:i4>
      </vt:variant>
      <vt:variant>
        <vt:lpwstr/>
      </vt:variant>
      <vt:variant>
        <vt:lpwstr>_Toc95122841</vt:lpwstr>
      </vt:variant>
      <vt:variant>
        <vt:i4>1572926</vt:i4>
      </vt:variant>
      <vt:variant>
        <vt:i4>104</vt:i4>
      </vt:variant>
      <vt:variant>
        <vt:i4>0</vt:i4>
      </vt:variant>
      <vt:variant>
        <vt:i4>5</vt:i4>
      </vt:variant>
      <vt:variant>
        <vt:lpwstr/>
      </vt:variant>
      <vt:variant>
        <vt:lpwstr>_Toc95122840</vt:lpwstr>
      </vt:variant>
      <vt:variant>
        <vt:i4>1114169</vt:i4>
      </vt:variant>
      <vt:variant>
        <vt:i4>98</vt:i4>
      </vt:variant>
      <vt:variant>
        <vt:i4>0</vt:i4>
      </vt:variant>
      <vt:variant>
        <vt:i4>5</vt:i4>
      </vt:variant>
      <vt:variant>
        <vt:lpwstr/>
      </vt:variant>
      <vt:variant>
        <vt:lpwstr>_Toc95122839</vt:lpwstr>
      </vt:variant>
      <vt:variant>
        <vt:i4>1048633</vt:i4>
      </vt:variant>
      <vt:variant>
        <vt:i4>92</vt:i4>
      </vt:variant>
      <vt:variant>
        <vt:i4>0</vt:i4>
      </vt:variant>
      <vt:variant>
        <vt:i4>5</vt:i4>
      </vt:variant>
      <vt:variant>
        <vt:lpwstr/>
      </vt:variant>
      <vt:variant>
        <vt:lpwstr>_Toc95122838</vt:lpwstr>
      </vt:variant>
      <vt:variant>
        <vt:i4>2031673</vt:i4>
      </vt:variant>
      <vt:variant>
        <vt:i4>86</vt:i4>
      </vt:variant>
      <vt:variant>
        <vt:i4>0</vt:i4>
      </vt:variant>
      <vt:variant>
        <vt:i4>5</vt:i4>
      </vt:variant>
      <vt:variant>
        <vt:lpwstr/>
      </vt:variant>
      <vt:variant>
        <vt:lpwstr>_Toc95122837</vt:lpwstr>
      </vt:variant>
      <vt:variant>
        <vt:i4>1966137</vt:i4>
      </vt:variant>
      <vt:variant>
        <vt:i4>80</vt:i4>
      </vt:variant>
      <vt:variant>
        <vt:i4>0</vt:i4>
      </vt:variant>
      <vt:variant>
        <vt:i4>5</vt:i4>
      </vt:variant>
      <vt:variant>
        <vt:lpwstr/>
      </vt:variant>
      <vt:variant>
        <vt:lpwstr>_Toc95122836</vt:lpwstr>
      </vt:variant>
      <vt:variant>
        <vt:i4>1900601</vt:i4>
      </vt:variant>
      <vt:variant>
        <vt:i4>74</vt:i4>
      </vt:variant>
      <vt:variant>
        <vt:i4>0</vt:i4>
      </vt:variant>
      <vt:variant>
        <vt:i4>5</vt:i4>
      </vt:variant>
      <vt:variant>
        <vt:lpwstr/>
      </vt:variant>
      <vt:variant>
        <vt:lpwstr>_Toc95122835</vt:lpwstr>
      </vt:variant>
      <vt:variant>
        <vt:i4>1835065</vt:i4>
      </vt:variant>
      <vt:variant>
        <vt:i4>68</vt:i4>
      </vt:variant>
      <vt:variant>
        <vt:i4>0</vt:i4>
      </vt:variant>
      <vt:variant>
        <vt:i4>5</vt:i4>
      </vt:variant>
      <vt:variant>
        <vt:lpwstr/>
      </vt:variant>
      <vt:variant>
        <vt:lpwstr>_Toc95122834</vt:lpwstr>
      </vt:variant>
      <vt:variant>
        <vt:i4>1769529</vt:i4>
      </vt:variant>
      <vt:variant>
        <vt:i4>62</vt:i4>
      </vt:variant>
      <vt:variant>
        <vt:i4>0</vt:i4>
      </vt:variant>
      <vt:variant>
        <vt:i4>5</vt:i4>
      </vt:variant>
      <vt:variant>
        <vt:lpwstr/>
      </vt:variant>
      <vt:variant>
        <vt:lpwstr>_Toc95122833</vt:lpwstr>
      </vt:variant>
      <vt:variant>
        <vt:i4>1703993</vt:i4>
      </vt:variant>
      <vt:variant>
        <vt:i4>56</vt:i4>
      </vt:variant>
      <vt:variant>
        <vt:i4>0</vt:i4>
      </vt:variant>
      <vt:variant>
        <vt:i4>5</vt:i4>
      </vt:variant>
      <vt:variant>
        <vt:lpwstr/>
      </vt:variant>
      <vt:variant>
        <vt:lpwstr>_Toc95122832</vt:lpwstr>
      </vt:variant>
      <vt:variant>
        <vt:i4>1638457</vt:i4>
      </vt:variant>
      <vt:variant>
        <vt:i4>50</vt:i4>
      </vt:variant>
      <vt:variant>
        <vt:i4>0</vt:i4>
      </vt:variant>
      <vt:variant>
        <vt:i4>5</vt:i4>
      </vt:variant>
      <vt:variant>
        <vt:lpwstr/>
      </vt:variant>
      <vt:variant>
        <vt:lpwstr>_Toc95122831</vt:lpwstr>
      </vt:variant>
      <vt:variant>
        <vt:i4>1572921</vt:i4>
      </vt:variant>
      <vt:variant>
        <vt:i4>44</vt:i4>
      </vt:variant>
      <vt:variant>
        <vt:i4>0</vt:i4>
      </vt:variant>
      <vt:variant>
        <vt:i4>5</vt:i4>
      </vt:variant>
      <vt:variant>
        <vt:lpwstr/>
      </vt:variant>
      <vt:variant>
        <vt:lpwstr>_Toc95122830</vt:lpwstr>
      </vt:variant>
      <vt:variant>
        <vt:i4>1114168</vt:i4>
      </vt:variant>
      <vt:variant>
        <vt:i4>38</vt:i4>
      </vt:variant>
      <vt:variant>
        <vt:i4>0</vt:i4>
      </vt:variant>
      <vt:variant>
        <vt:i4>5</vt:i4>
      </vt:variant>
      <vt:variant>
        <vt:lpwstr/>
      </vt:variant>
      <vt:variant>
        <vt:lpwstr>_Toc95122829</vt:lpwstr>
      </vt:variant>
      <vt:variant>
        <vt:i4>1048632</vt:i4>
      </vt:variant>
      <vt:variant>
        <vt:i4>32</vt:i4>
      </vt:variant>
      <vt:variant>
        <vt:i4>0</vt:i4>
      </vt:variant>
      <vt:variant>
        <vt:i4>5</vt:i4>
      </vt:variant>
      <vt:variant>
        <vt:lpwstr/>
      </vt:variant>
      <vt:variant>
        <vt:lpwstr>_Toc95122828</vt:lpwstr>
      </vt:variant>
      <vt:variant>
        <vt:i4>2031672</vt:i4>
      </vt:variant>
      <vt:variant>
        <vt:i4>26</vt:i4>
      </vt:variant>
      <vt:variant>
        <vt:i4>0</vt:i4>
      </vt:variant>
      <vt:variant>
        <vt:i4>5</vt:i4>
      </vt:variant>
      <vt:variant>
        <vt:lpwstr/>
      </vt:variant>
      <vt:variant>
        <vt:lpwstr>_Toc95122827</vt:lpwstr>
      </vt:variant>
      <vt:variant>
        <vt:i4>1966136</vt:i4>
      </vt:variant>
      <vt:variant>
        <vt:i4>20</vt:i4>
      </vt:variant>
      <vt:variant>
        <vt:i4>0</vt:i4>
      </vt:variant>
      <vt:variant>
        <vt:i4>5</vt:i4>
      </vt:variant>
      <vt:variant>
        <vt:lpwstr/>
      </vt:variant>
      <vt:variant>
        <vt:lpwstr>_Toc95122826</vt:lpwstr>
      </vt:variant>
      <vt:variant>
        <vt:i4>1900600</vt:i4>
      </vt:variant>
      <vt:variant>
        <vt:i4>14</vt:i4>
      </vt:variant>
      <vt:variant>
        <vt:i4>0</vt:i4>
      </vt:variant>
      <vt:variant>
        <vt:i4>5</vt:i4>
      </vt:variant>
      <vt:variant>
        <vt:lpwstr/>
      </vt:variant>
      <vt:variant>
        <vt:lpwstr>_Toc95122825</vt:lpwstr>
      </vt:variant>
      <vt:variant>
        <vt:i4>1835064</vt:i4>
      </vt:variant>
      <vt:variant>
        <vt:i4>8</vt:i4>
      </vt:variant>
      <vt:variant>
        <vt:i4>0</vt:i4>
      </vt:variant>
      <vt:variant>
        <vt:i4>5</vt:i4>
      </vt:variant>
      <vt:variant>
        <vt:lpwstr/>
      </vt:variant>
      <vt:variant>
        <vt:lpwstr>_Toc95122824</vt:lpwstr>
      </vt:variant>
      <vt:variant>
        <vt:i4>1769528</vt:i4>
      </vt:variant>
      <vt:variant>
        <vt:i4>2</vt:i4>
      </vt:variant>
      <vt:variant>
        <vt:i4>0</vt:i4>
      </vt:variant>
      <vt:variant>
        <vt:i4>5</vt:i4>
      </vt:variant>
      <vt:variant>
        <vt:lpwstr/>
      </vt:variant>
      <vt:variant>
        <vt:lpwstr>_Toc95122823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Leandro Neves de Oliveira</dc:creator>
  <cp:keywords/>
  <cp:lastModifiedBy>Caroline Gogola Ferreira Carvalho</cp:lastModifiedBy>
  <cp:revision>2</cp:revision>
  <cp:lastPrinted>2024-03-14T14:38:00Z</cp:lastPrinted>
  <dcterms:created xsi:type="dcterms:W3CDTF">2024-03-25T15:05:00Z</dcterms:created>
  <dcterms:modified xsi:type="dcterms:W3CDTF">2024-03-25T15:05:00Z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0x010100D18A7C92F09A784AA05C3F5635716AF6</vt:lpwstr>
  </property>
</Properties>
</file>